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ED2A6" w14:textId="74153E0E" w:rsidR="00BE61B2" w:rsidRPr="00DB7156" w:rsidRDefault="00BE61B2" w:rsidP="00ED5B30">
      <w:pPr>
        <w:spacing w:after="0"/>
        <w:rPr>
          <w:rFonts w:cs="Arial"/>
          <w:b/>
          <w:sz w:val="28"/>
          <w:szCs w:val="28"/>
        </w:rPr>
      </w:pPr>
      <w:bookmarkStart w:id="0" w:name="_Hlk100579549"/>
    </w:p>
    <w:p w14:paraId="47E3F0E3" w14:textId="77777777" w:rsidR="00BE61B2" w:rsidRPr="00DB7156" w:rsidRDefault="00BE61B2" w:rsidP="00ED5B30">
      <w:pPr>
        <w:spacing w:after="0"/>
        <w:rPr>
          <w:rFonts w:cs="Arial"/>
          <w:b/>
          <w:sz w:val="28"/>
          <w:szCs w:val="28"/>
        </w:rPr>
      </w:pPr>
    </w:p>
    <w:p w14:paraId="3CE0F97D" w14:textId="0AE3A712" w:rsidR="00BE61B2" w:rsidRPr="006B0AFA" w:rsidRDefault="00BE61B2" w:rsidP="006B0AFA">
      <w:pPr>
        <w:jc w:val="center"/>
        <w:rPr>
          <w:rFonts w:asciiTheme="majorHAnsi" w:hAnsiTheme="majorHAnsi"/>
          <w:b/>
          <w:color w:val="1F3864" w:themeColor="accent1" w:themeShade="80"/>
          <w:sz w:val="40"/>
          <w:szCs w:val="40"/>
        </w:rPr>
      </w:pPr>
      <w:r w:rsidRPr="006B0AFA">
        <w:rPr>
          <w:rFonts w:asciiTheme="majorHAnsi" w:hAnsiTheme="majorHAnsi"/>
          <w:b/>
          <w:color w:val="1F3864" w:themeColor="accent1" w:themeShade="80"/>
          <w:sz w:val="40"/>
          <w:szCs w:val="40"/>
        </w:rPr>
        <w:t>Environmental Compliance Strategy</w:t>
      </w:r>
    </w:p>
    <w:p w14:paraId="1DCFFC51" w14:textId="1148DED3" w:rsidR="00BE61B2" w:rsidRPr="006B0AFA" w:rsidRDefault="00280008" w:rsidP="006B0AFA">
      <w:pPr>
        <w:jc w:val="center"/>
        <w:rPr>
          <w:rFonts w:asciiTheme="majorHAnsi" w:hAnsiTheme="majorHAnsi"/>
          <w:b/>
          <w:color w:val="1F3864" w:themeColor="accent1" w:themeShade="80"/>
          <w:sz w:val="40"/>
          <w:szCs w:val="40"/>
        </w:rPr>
      </w:pPr>
      <w:r w:rsidRPr="006B0AFA">
        <w:rPr>
          <w:rFonts w:asciiTheme="majorHAnsi" w:hAnsiTheme="majorHAnsi"/>
          <w:b/>
          <w:color w:val="1F3864" w:themeColor="accent1" w:themeShade="80"/>
          <w:sz w:val="40"/>
          <w:szCs w:val="40"/>
        </w:rPr>
        <w:t>2025</w:t>
      </w:r>
    </w:p>
    <w:p w14:paraId="1C54E977" w14:textId="77777777" w:rsidR="00BE61B2" w:rsidRPr="006B0AFA" w:rsidRDefault="00BE61B2" w:rsidP="006B0AFA">
      <w:pPr>
        <w:jc w:val="center"/>
        <w:rPr>
          <w:rFonts w:asciiTheme="majorHAnsi" w:hAnsiTheme="majorHAnsi" w:cs="Arial"/>
          <w:color w:val="1F3864" w:themeColor="accent1" w:themeShade="80"/>
          <w:sz w:val="40"/>
          <w:szCs w:val="40"/>
        </w:rPr>
      </w:pPr>
    </w:p>
    <w:p w14:paraId="008D2924" w14:textId="3D197B5D" w:rsidR="00BE61B2" w:rsidRPr="006B0AFA" w:rsidRDefault="00BE61B2" w:rsidP="006B0AFA">
      <w:pPr>
        <w:jc w:val="center"/>
        <w:rPr>
          <w:rFonts w:asciiTheme="majorHAnsi" w:hAnsiTheme="majorHAnsi"/>
          <w:color w:val="1F3864" w:themeColor="accent1" w:themeShade="80"/>
          <w:sz w:val="40"/>
          <w:szCs w:val="40"/>
        </w:rPr>
      </w:pPr>
      <w:r w:rsidRPr="006B0AFA">
        <w:rPr>
          <w:rFonts w:asciiTheme="majorHAnsi" w:hAnsiTheme="majorHAnsi"/>
          <w:color w:val="1F3864" w:themeColor="accent1" w:themeShade="80"/>
          <w:sz w:val="40"/>
          <w:szCs w:val="40"/>
        </w:rPr>
        <w:t>Georgia Power Company</w:t>
      </w:r>
    </w:p>
    <w:p w14:paraId="426FF251" w14:textId="77777777" w:rsidR="00BE61B2" w:rsidRPr="00DB7156" w:rsidRDefault="00BE61B2" w:rsidP="00ED5B30">
      <w:pPr>
        <w:spacing w:after="0"/>
        <w:rPr>
          <w:rFonts w:cs="Arial"/>
          <w:b/>
          <w:bCs/>
          <w:szCs w:val="24"/>
        </w:rPr>
      </w:pPr>
    </w:p>
    <w:p w14:paraId="5BAFD5A8" w14:textId="77777777" w:rsidR="00BE61B2" w:rsidRPr="00DB7156" w:rsidRDefault="00BE61B2" w:rsidP="00ED5B30">
      <w:pPr>
        <w:spacing w:after="0"/>
        <w:rPr>
          <w:rFonts w:cs="Arial"/>
          <w:b/>
          <w:bCs/>
          <w:szCs w:val="24"/>
        </w:rPr>
      </w:pPr>
    </w:p>
    <w:p w14:paraId="03A4773C" w14:textId="77777777" w:rsidR="00BE61B2" w:rsidRPr="00DB7156" w:rsidRDefault="00BE61B2" w:rsidP="00ED5B30">
      <w:pPr>
        <w:pBdr>
          <w:bottom w:val="single" w:sz="18" w:space="1" w:color="CC0000"/>
        </w:pBdr>
        <w:tabs>
          <w:tab w:val="left" w:pos="900"/>
        </w:tabs>
        <w:spacing w:after="0"/>
        <w:ind w:left="540" w:right="540"/>
        <w:rPr>
          <w:rFonts w:cs="Arial"/>
          <w:b/>
          <w:bCs/>
          <w:kern w:val="28"/>
          <w:szCs w:val="32"/>
        </w:rPr>
      </w:pPr>
    </w:p>
    <w:p w14:paraId="577EED2C" w14:textId="77777777" w:rsidR="00BE61B2" w:rsidRPr="00DB7156" w:rsidRDefault="00BE61B2" w:rsidP="00ED5B30">
      <w:pPr>
        <w:tabs>
          <w:tab w:val="left" w:pos="360"/>
          <w:tab w:val="left" w:pos="900"/>
        </w:tabs>
        <w:spacing w:after="0"/>
        <w:rPr>
          <w:rFonts w:cs="Arial"/>
          <w:b/>
          <w:bCs/>
          <w:kern w:val="28"/>
          <w:szCs w:val="32"/>
        </w:rPr>
      </w:pPr>
    </w:p>
    <w:p w14:paraId="3B5D898D" w14:textId="77777777" w:rsidR="00BE61B2" w:rsidRPr="00DB7156" w:rsidRDefault="00BE61B2" w:rsidP="00ED5B30">
      <w:pPr>
        <w:tabs>
          <w:tab w:val="left" w:pos="2520"/>
          <w:tab w:val="left" w:pos="8190"/>
        </w:tabs>
        <w:spacing w:after="0"/>
        <w:ind w:right="-72"/>
        <w:rPr>
          <w:rFonts w:cs="Arial"/>
          <w:szCs w:val="24"/>
        </w:rPr>
      </w:pPr>
    </w:p>
    <w:p w14:paraId="0E72B487" w14:textId="77777777" w:rsidR="00BE61B2" w:rsidRPr="00DB7156" w:rsidRDefault="00BE61B2" w:rsidP="00ED5B30">
      <w:pPr>
        <w:tabs>
          <w:tab w:val="left" w:pos="2520"/>
          <w:tab w:val="left" w:pos="8190"/>
        </w:tabs>
        <w:spacing w:after="0"/>
        <w:ind w:right="-72"/>
        <w:rPr>
          <w:rFonts w:cs="Arial"/>
          <w:szCs w:val="24"/>
        </w:rPr>
      </w:pPr>
    </w:p>
    <w:p w14:paraId="61844B66" w14:textId="77777777" w:rsidR="00BE61B2" w:rsidRPr="00DB7156" w:rsidRDefault="00BE61B2" w:rsidP="00ED5B30">
      <w:pPr>
        <w:tabs>
          <w:tab w:val="left" w:pos="2520"/>
          <w:tab w:val="left" w:pos="8190"/>
        </w:tabs>
        <w:spacing w:after="0"/>
        <w:ind w:right="-72"/>
        <w:rPr>
          <w:rFonts w:cs="Arial"/>
          <w:szCs w:val="24"/>
        </w:rPr>
      </w:pPr>
    </w:p>
    <w:p w14:paraId="55BF3CB0" w14:textId="77777777" w:rsidR="00BE61B2" w:rsidRPr="00DB7156" w:rsidRDefault="00BE61B2" w:rsidP="00ED5B30">
      <w:pPr>
        <w:spacing w:after="0"/>
        <w:rPr>
          <w:rFonts w:cs="Arial"/>
          <w:b/>
          <w:color w:val="000080"/>
          <w:szCs w:val="24"/>
        </w:rPr>
      </w:pPr>
      <w:bookmarkStart w:id="1" w:name="_Hlk528175979"/>
      <w:bookmarkEnd w:id="0"/>
    </w:p>
    <w:p w14:paraId="3F382037" w14:textId="77777777" w:rsidR="004F3973" w:rsidRDefault="004F3973" w:rsidP="006B0236">
      <w:pPr>
        <w:rPr>
          <w:rFonts w:cs="Arial"/>
          <w:b/>
          <w:color w:val="000080"/>
          <w:szCs w:val="24"/>
        </w:rPr>
      </w:pPr>
      <w:r>
        <w:rPr>
          <w:rFonts w:cs="Arial"/>
          <w:b/>
          <w:color w:val="000080"/>
          <w:szCs w:val="24"/>
        </w:rPr>
        <w:br w:type="page"/>
      </w:r>
    </w:p>
    <w:p w14:paraId="5BC2ECA8" w14:textId="77777777" w:rsidR="002404B1" w:rsidRDefault="002404B1" w:rsidP="00BE61B2">
      <w:pPr>
        <w:rPr>
          <w:rFonts w:cs="Arial"/>
          <w:b/>
          <w:color w:val="000080"/>
          <w:szCs w:val="24"/>
        </w:rPr>
        <w:sectPr w:rsidR="002404B1" w:rsidSect="00E57D27">
          <w:footerReference w:type="default" r:id="rId8"/>
          <w:pgSz w:w="12240" w:h="15840"/>
          <w:pgMar w:top="1440" w:right="1440" w:bottom="1440" w:left="1440" w:header="720" w:footer="720" w:gutter="0"/>
          <w:pgNumType w:start="1"/>
          <w:cols w:space="720"/>
          <w:docGrid w:linePitch="360"/>
        </w:sectPr>
      </w:pPr>
    </w:p>
    <w:p w14:paraId="2487FCF0" w14:textId="492583A5" w:rsidR="00BE61B2" w:rsidRPr="006B0AFA" w:rsidRDefault="00BE61B2" w:rsidP="00BE61B2">
      <w:pPr>
        <w:rPr>
          <w:rFonts w:asciiTheme="majorHAnsi" w:hAnsiTheme="majorHAnsi"/>
          <w:color w:val="1F3864" w:themeColor="accent1" w:themeShade="80"/>
          <w:sz w:val="28"/>
          <w:szCs w:val="28"/>
        </w:rPr>
      </w:pPr>
      <w:r w:rsidRPr="006B0AFA">
        <w:rPr>
          <w:rFonts w:asciiTheme="majorHAnsi" w:hAnsiTheme="majorHAnsi"/>
          <w:color w:val="1F3864" w:themeColor="accent1" w:themeShade="80"/>
          <w:sz w:val="28"/>
          <w:szCs w:val="28"/>
        </w:rPr>
        <w:lastRenderedPageBreak/>
        <w:t>FORWARD-LOOKING STATEMENT CAUTIONARY NOTE</w:t>
      </w:r>
    </w:p>
    <w:bookmarkEnd w:id="1"/>
    <w:p w14:paraId="0FFF443B" w14:textId="2A7E1482" w:rsidR="00BE61B2" w:rsidRPr="00676E5E" w:rsidRDefault="00BE61B2" w:rsidP="00ED5B30">
      <w:pPr>
        <w:spacing w:after="0"/>
        <w:rPr>
          <w:rFonts w:cs="Arial"/>
        </w:rPr>
      </w:pPr>
      <w:r w:rsidRPr="718D59B1">
        <w:rPr>
          <w:rFonts w:cs="Arial"/>
        </w:rPr>
        <w:t xml:space="preserve">Certain information contained in this report is forward-looking information based on current expectations and plans that involve risks and uncertainties. Forward-looking information includes, among other things, statements concerning environmental regulations and related compliance plans and estimated expenditures. Georgia Power cautions that there are certain factors that can cause actual results to differ materially from the forward-looking information that has been provided. The reader is cautioned not to put undue reliance on this forward-looking information, which is not a guarantee of future performance and is subject to </w:t>
      </w:r>
      <w:proofErr w:type="gramStart"/>
      <w:r w:rsidRPr="718D59B1">
        <w:rPr>
          <w:rFonts w:cs="Arial"/>
        </w:rPr>
        <w:t>a number of</w:t>
      </w:r>
      <w:proofErr w:type="gramEnd"/>
      <w:r w:rsidRPr="718D59B1">
        <w:rPr>
          <w:rFonts w:cs="Arial"/>
        </w:rPr>
        <w:t xml:space="preserve"> uncertainties and other factors, many of which are outside the control of Georgia Power; accordingly, there can be no assurance that such suggested results will be realized. The following factors, in addition to those discussed in Georgia Power’s Annual Report on Form 10-K for the fiscal year ended December 31, 202</w:t>
      </w:r>
      <w:r w:rsidR="00E936C8">
        <w:rPr>
          <w:rFonts w:cs="Arial"/>
        </w:rPr>
        <w:t>3</w:t>
      </w:r>
      <w:r w:rsidRPr="718D59B1">
        <w:rPr>
          <w:rFonts w:cs="Arial"/>
        </w:rPr>
        <w:t xml:space="preserve"> and subsequent securities filings, could cause actual results to differ materially from management expectations as suggested by such forward-looking information:</w:t>
      </w:r>
      <w:r w:rsidRPr="718D59B1">
        <w:rPr>
          <w:rFonts w:cs="Arial"/>
          <w:b/>
        </w:rPr>
        <w:t xml:space="preserve"> </w:t>
      </w:r>
      <w:r w:rsidRPr="718D59B1">
        <w:rPr>
          <w:rFonts w:cs="Arial"/>
        </w:rPr>
        <w:t>the impact of recent and future federal and state regulatory changes, including tax, environmental, and other laws and regulations to which Georgia Power is subject, as well as changes in application of existing laws and regulations; the extent and timing of costs and legal requirements related to coal combustion residuals;</w:t>
      </w:r>
      <w:r w:rsidRPr="00FB61DD">
        <w:t xml:space="preserve"> </w:t>
      </w:r>
      <w:r w:rsidRPr="718D59B1">
        <w:rPr>
          <w:rFonts w:cs="Arial"/>
        </w:rPr>
        <w:t>current and future litigation or regulatory investigations, proceedings, or inquiries; the ability to control costs and avoid cost and schedule overruns during the development, construction and operation of facilities or other projects; the ability to construct facilities in accordance with the requirements of permits and licenses and to satisfy any environmental performance standards and the requirements of tax credits and other incentives; advances in technology</w:t>
      </w:r>
      <w:r w:rsidR="69459142" w:rsidRPr="10B266A5">
        <w:rPr>
          <w:rFonts w:cs="Arial"/>
        </w:rPr>
        <w:t>, including the pace and extent of development of low- to no-carbon energy and battery energy storage technologies and negative carbon concepts</w:t>
      </w:r>
      <w:r w:rsidRPr="718D59B1">
        <w:rPr>
          <w:rFonts w:cs="Arial"/>
        </w:rPr>
        <w:t xml:space="preserve">; state and federal rate regulations and the impact of pending and future rate cases and negotiations, including rate actions relating to cost recovery mechanisms; catastrophic events such as fires, earthquakes, explosions, floods, tornadoes, hurricanes and other storms, droughts, pandemic health events, political unrest, </w:t>
      </w:r>
      <w:r w:rsidR="6F3A5A52" w:rsidRPr="718D59B1">
        <w:rPr>
          <w:rFonts w:cs="Arial"/>
        </w:rPr>
        <w:t xml:space="preserve">wars </w:t>
      </w:r>
      <w:r w:rsidRPr="718D59B1">
        <w:rPr>
          <w:rFonts w:cs="Arial"/>
        </w:rPr>
        <w:t xml:space="preserve">or other similar occurrences; and the effect of accounting </w:t>
      </w:r>
      <w:r w:rsidR="07AC3CBA" w:rsidRPr="33EDE500">
        <w:rPr>
          <w:rFonts w:cs="Arial"/>
        </w:rPr>
        <w:t>pronouncements</w:t>
      </w:r>
      <w:r w:rsidRPr="718D59B1">
        <w:rPr>
          <w:rFonts w:cs="Arial"/>
        </w:rPr>
        <w:t xml:space="preserve"> issued periodically by standard-setting bodies. Georgia Power expressly disclaims any obligation to update any forward-looking information.</w:t>
      </w:r>
    </w:p>
    <w:p w14:paraId="5FFDCDF5" w14:textId="77777777" w:rsidR="002404B1" w:rsidRDefault="00BE61B2" w:rsidP="001D7FF8">
      <w:pPr>
        <w:pStyle w:val="Heading1"/>
        <w:rPr>
          <w:rFonts w:cs="Arial"/>
          <w:iCs/>
          <w:color w:val="000000"/>
          <w:szCs w:val="24"/>
        </w:rPr>
        <w:sectPr w:rsidR="002404B1" w:rsidSect="00E57D27">
          <w:pgSz w:w="12240" w:h="15840"/>
          <w:pgMar w:top="1440" w:right="1440" w:bottom="1440" w:left="1440" w:header="720" w:footer="720" w:gutter="0"/>
          <w:pgNumType w:start="1"/>
          <w:cols w:space="720"/>
          <w:docGrid w:linePitch="360"/>
        </w:sectPr>
      </w:pPr>
      <w:r w:rsidRPr="00DB7156">
        <w:rPr>
          <w:rFonts w:cs="Arial"/>
          <w:iCs/>
          <w:color w:val="000000"/>
          <w:szCs w:val="24"/>
        </w:rPr>
        <w:br w:type="page"/>
      </w:r>
    </w:p>
    <w:p w14:paraId="60A838A0" w14:textId="4611ABA4" w:rsidR="007C0BCE" w:rsidRPr="00860E38" w:rsidRDefault="00873279" w:rsidP="00822E25">
      <w:pPr>
        <w:pStyle w:val="TOCHeading"/>
      </w:pPr>
      <w:r w:rsidRPr="00860E38">
        <w:lastRenderedPageBreak/>
        <w:t xml:space="preserve">2025 </w:t>
      </w:r>
      <w:r w:rsidR="00287ADF" w:rsidRPr="00860E38">
        <w:t>Environmental Compliance Strategy Executive Summary</w:t>
      </w:r>
    </w:p>
    <w:p w14:paraId="4EF65C16" w14:textId="4574E1D7" w:rsidR="00B23691" w:rsidRPr="002648BD" w:rsidRDefault="00BC61F0" w:rsidP="00B23691">
      <w:r>
        <w:t>Georgia Power</w:t>
      </w:r>
      <w:r w:rsidR="0087185C">
        <w:t xml:space="preserve"> Company</w:t>
      </w:r>
      <w:r>
        <w:t xml:space="preserve">’s </w:t>
      </w:r>
      <w:r w:rsidR="0087185C">
        <w:t>(“Georgia Power,” “GPC,” or the “Company”)</w:t>
      </w:r>
      <w:r>
        <w:t xml:space="preserve"> </w:t>
      </w:r>
      <w:r w:rsidR="00E80471">
        <w:t xml:space="preserve">2025 </w:t>
      </w:r>
      <w:r>
        <w:t>Environmental Compliance Strategy (“ECS”)</w:t>
      </w:r>
      <w:r w:rsidR="00377557">
        <w:t xml:space="preserve"> continues to </w:t>
      </w:r>
      <w:r w:rsidR="00F21DDA">
        <w:t>apply</w:t>
      </w:r>
      <w:r w:rsidR="00377557">
        <w:t xml:space="preserve"> </w:t>
      </w:r>
      <w:r w:rsidR="00347696">
        <w:t xml:space="preserve">a comprehensive annual process to review, refine, </w:t>
      </w:r>
      <w:r w:rsidR="00EC11DC">
        <w:t>and/</w:t>
      </w:r>
      <w:r w:rsidR="00347696">
        <w:t xml:space="preserve">or update </w:t>
      </w:r>
      <w:r w:rsidR="00034E54">
        <w:t xml:space="preserve">the 10-year outlook for environmental control plans. The goals of the Company’s strategy </w:t>
      </w:r>
      <w:r w:rsidR="00C25700">
        <w:t>are</w:t>
      </w:r>
      <w:r w:rsidR="00034E54">
        <w:t xml:space="preserve"> to </w:t>
      </w:r>
      <w:r w:rsidR="00347696">
        <w:t>ensure compliance and provide cost</w:t>
      </w:r>
      <w:r w:rsidR="000B4515">
        <w:t>-</w:t>
      </w:r>
      <w:r w:rsidR="00347696">
        <w:t>effective solutions</w:t>
      </w:r>
      <w:r w:rsidR="004F6633">
        <w:t xml:space="preserve"> for the generating fleet that are</w:t>
      </w:r>
      <w:r w:rsidR="00347696">
        <w:t xml:space="preserve"> in the best interest</w:t>
      </w:r>
      <w:r w:rsidR="00EF2700">
        <w:t>s</w:t>
      </w:r>
      <w:r w:rsidR="00347696">
        <w:t xml:space="preserve"> of customers.</w:t>
      </w:r>
      <w:r w:rsidR="00473B15">
        <w:t xml:space="preserve"> </w:t>
      </w:r>
      <w:r w:rsidR="00B23691" w:rsidRPr="002648BD">
        <w:t xml:space="preserve">2024 marked a significant year in environmental policy development, with </w:t>
      </w:r>
      <w:r w:rsidR="0016458E">
        <w:t>the Environmental Protection Agency (“</w:t>
      </w:r>
      <w:r w:rsidR="00B23691" w:rsidRPr="002648BD">
        <w:t>EPA</w:t>
      </w:r>
      <w:r w:rsidR="0016458E">
        <w:t>”)</w:t>
      </w:r>
      <w:r w:rsidR="00B23691" w:rsidRPr="002648BD">
        <w:t xml:space="preserve"> finalizing a suite of power sector rules in the spring, including the Clean Air Act Section 111 Greenhouse Gas Rules (</w:t>
      </w:r>
      <w:r w:rsidR="00972D8D">
        <w:t>“</w:t>
      </w:r>
      <w:r w:rsidR="00B23691" w:rsidRPr="002648BD">
        <w:t>111 GHG Rules</w:t>
      </w:r>
      <w:r w:rsidR="00972D8D">
        <w:t>”</w:t>
      </w:r>
      <w:r w:rsidR="00B23691" w:rsidRPr="002648BD">
        <w:t>), the Supplemental Effluent Limitations Guidelines (</w:t>
      </w:r>
      <w:r w:rsidR="00972D8D">
        <w:t>“</w:t>
      </w:r>
      <w:r w:rsidR="00B23691" w:rsidRPr="002648BD">
        <w:t>Supplemental ELG Rule</w:t>
      </w:r>
      <w:r w:rsidR="00972D8D">
        <w:t>”</w:t>
      </w:r>
      <w:r w:rsidR="00B23691" w:rsidRPr="002648BD">
        <w:t>), the Mercury and Air Toxics Standards Residual Risk and Technology Rule (</w:t>
      </w:r>
      <w:r w:rsidR="00972D8D">
        <w:t>“</w:t>
      </w:r>
      <w:r w:rsidR="00B23691" w:rsidRPr="002648BD">
        <w:t>MATS RTR</w:t>
      </w:r>
      <w:r w:rsidR="00972D8D">
        <w:t>”</w:t>
      </w:r>
      <w:r w:rsidR="00B23691" w:rsidRPr="002648BD">
        <w:t>), and the Coal Combustion Residuals Legacy Surface Impoundments Rule (</w:t>
      </w:r>
      <w:r w:rsidR="00972D8D">
        <w:t>“</w:t>
      </w:r>
      <w:r w:rsidR="00B23691" w:rsidRPr="002648BD">
        <w:t>CCR Legacy Rule</w:t>
      </w:r>
      <w:r w:rsidR="00972D8D">
        <w:t>”</w:t>
      </w:r>
      <w:r w:rsidR="00B23691" w:rsidRPr="002648BD">
        <w:t>). Each of these rules has been legally challenged</w:t>
      </w:r>
      <w:r w:rsidR="002D3C2D">
        <w:t>,</w:t>
      </w:r>
      <w:r w:rsidR="00B23691" w:rsidRPr="002648BD">
        <w:t xml:space="preserve"> but legal stays were denied in each case, meaning </w:t>
      </w:r>
      <w:proofErr w:type="gramStart"/>
      <w:r w:rsidR="00B23691" w:rsidRPr="002648BD">
        <w:t>all of</w:t>
      </w:r>
      <w:proofErr w:type="gramEnd"/>
      <w:r w:rsidR="00B23691" w:rsidRPr="002648BD">
        <w:t xml:space="preserve"> the rules remain in effect while the legal proceedings are ongoing. </w:t>
      </w:r>
    </w:p>
    <w:p w14:paraId="5C378C5C" w14:textId="6889C6B1" w:rsidR="00B23691" w:rsidRPr="002648BD" w:rsidRDefault="00B23691" w:rsidP="00B23691">
      <w:r w:rsidRPr="006C5AEC">
        <w:t xml:space="preserve">Given the uncertainty in environmental rules </w:t>
      </w:r>
      <w:r>
        <w:t>that are final and in effect</w:t>
      </w:r>
      <w:r w:rsidRPr="006C5AEC">
        <w:t xml:space="preserve">, </w:t>
      </w:r>
      <w:r>
        <w:t xml:space="preserve">Georgia Power plans to </w:t>
      </w:r>
      <w:r w:rsidR="000B5333">
        <w:t>employ</w:t>
      </w:r>
      <w:r>
        <w:t xml:space="preserve"> </w:t>
      </w:r>
      <w:r w:rsidRPr="006C5AEC">
        <w:t xml:space="preserve">a flexible and adaptive </w:t>
      </w:r>
      <w:r w:rsidR="000B0151">
        <w:t>environmental</w:t>
      </w:r>
      <w:r w:rsidRPr="006C5AEC">
        <w:t xml:space="preserve"> strategy to ensure continued compliance and resource planning optionality.</w:t>
      </w:r>
      <w:r>
        <w:t xml:space="preserve"> </w:t>
      </w:r>
      <w:r w:rsidRPr="002648BD">
        <w:t>In some cases, such as with the 111 GHG</w:t>
      </w:r>
      <w:r>
        <w:t xml:space="preserve"> </w:t>
      </w:r>
      <w:r w:rsidR="0052343D">
        <w:t>Rule</w:t>
      </w:r>
      <w:r w:rsidR="009E3C34">
        <w:t>s</w:t>
      </w:r>
      <w:r>
        <w:t xml:space="preserve"> and </w:t>
      </w:r>
      <w:r w:rsidR="0052343D">
        <w:t>Supplemental</w:t>
      </w:r>
      <w:r>
        <w:t xml:space="preserve"> ELG</w:t>
      </w:r>
      <w:r w:rsidRPr="002648BD">
        <w:t xml:space="preserve"> Rule, Georgia Power must investigate and pursue the possibility of multiple outcomes to both ensure compliance with upcoming requirements while also maintaining the ability to adjust to any changes that may occur through the rulemaking or legal process</w:t>
      </w:r>
      <w:r w:rsidR="00044007" w:rsidRPr="00044007">
        <w:t xml:space="preserve"> </w:t>
      </w:r>
      <w:r w:rsidR="00044007" w:rsidRPr="002648BD">
        <w:t>for the benefit of customers</w:t>
      </w:r>
      <w:r w:rsidRPr="002648BD">
        <w:t xml:space="preserve">. The Company’s </w:t>
      </w:r>
      <w:r w:rsidR="00CE3AD2">
        <w:t>compliance strategy</w:t>
      </w:r>
      <w:r w:rsidRPr="002648BD">
        <w:t xml:space="preserve"> for each of these new final rules </w:t>
      </w:r>
      <w:r w:rsidR="00CE3AD2">
        <w:t>is</w:t>
      </w:r>
      <w:r w:rsidRPr="002648BD">
        <w:t xml:space="preserve"> outlined below.</w:t>
      </w:r>
    </w:p>
    <w:p w14:paraId="5A10937E" w14:textId="77777777" w:rsidR="00B23691" w:rsidRPr="00B23691" w:rsidRDefault="00B23691" w:rsidP="00822E25">
      <w:pPr>
        <w:pStyle w:val="Heading3noTOC"/>
      </w:pPr>
      <w:r>
        <w:t>111 GHG Rules</w:t>
      </w:r>
    </w:p>
    <w:p w14:paraId="48F71C18" w14:textId="08EDB745" w:rsidR="00B23691" w:rsidRPr="002648BD" w:rsidRDefault="00B23691" w:rsidP="00B23691">
      <w:r>
        <w:t xml:space="preserve">EPA’s 111 GHG Rules have far-reaching implications for both new natural gas combined cycle units </w:t>
      </w:r>
      <w:r w:rsidR="00EF4E4A">
        <w:t>(“NGCC”)</w:t>
      </w:r>
      <w:r>
        <w:t xml:space="preserve"> and existing coal</w:t>
      </w:r>
      <w:r w:rsidR="0060293E">
        <w:t xml:space="preserve"> units</w:t>
      </w:r>
      <w:r>
        <w:t xml:space="preserve">, especially for </w:t>
      </w:r>
      <w:r w:rsidR="00850FE9">
        <w:t>utili</w:t>
      </w:r>
      <w:r w:rsidR="0017627C">
        <w:t>t</w:t>
      </w:r>
      <w:r w:rsidR="00850FE9">
        <w:t xml:space="preserve">y </w:t>
      </w:r>
      <w:r>
        <w:t>resource planning in a time of significant projected load growth. Due to concerns about impacts to electricity reliability and affordability, 25 states and many industry groups challenged the rules</w:t>
      </w:r>
      <w:r w:rsidR="29A99FC1">
        <w:t xml:space="preserve"> in the D.C. Circuit</w:t>
      </w:r>
      <w:r>
        <w:t xml:space="preserve">, including the state of Georgia and the Electric Generators for a Sensible Transition, a utility coalition that includes Southern Company. The U.S. Supreme Court recently decided against putting the rules on hold while the litigation is </w:t>
      </w:r>
      <w:r w:rsidR="002B53A8">
        <w:t>ongoing but</w:t>
      </w:r>
      <w:r>
        <w:t xml:space="preserve"> noted that “the applicants have shown a strong likelihood of success on the merits as to at least some of their challenges.”</w:t>
      </w:r>
      <w:r w:rsidR="00E505ED">
        <w:rPr>
          <w:rStyle w:val="FootnoteReference"/>
        </w:rPr>
        <w:footnoteReference w:id="2"/>
      </w:r>
      <w:r>
        <w:t xml:space="preserve"> </w:t>
      </w:r>
      <w:r w:rsidR="00CE3AD2">
        <w:t>Despite the legal activity</w:t>
      </w:r>
      <w:r>
        <w:t>, the rules remain in effect, with state plan deadlines and timelines for generation decisions fast approaching and the legal proceedings for these rules far from over. Thus, it is critical for Georgia Power to move swiftly to prepare for compliance while also remaining ready for a range of possible outcomes, up to revocation of the rule.</w:t>
      </w:r>
    </w:p>
    <w:p w14:paraId="0514ED70" w14:textId="7085AA08" w:rsidR="00E65301" w:rsidRDefault="00B23691" w:rsidP="00B23691">
      <w:r w:rsidRPr="002648BD">
        <w:t xml:space="preserve">The federal standards limit new </w:t>
      </w:r>
      <w:r w:rsidR="006E46E5">
        <w:t>NGCC</w:t>
      </w:r>
      <w:r w:rsidRPr="002648BD">
        <w:t xml:space="preserve"> units to </w:t>
      </w:r>
      <w:r w:rsidR="00BF56D4">
        <w:t xml:space="preserve">a </w:t>
      </w:r>
      <w:r w:rsidRPr="002648BD">
        <w:t xml:space="preserve">40% capacity factor, unless 90% carbon capture and </w:t>
      </w:r>
      <w:r w:rsidR="00CE3AD2">
        <w:t>storage</w:t>
      </w:r>
      <w:r w:rsidRPr="002648BD">
        <w:t xml:space="preserve"> </w:t>
      </w:r>
      <w:r w:rsidR="00B24C93">
        <w:t>(“CCS”)</w:t>
      </w:r>
      <w:r w:rsidRPr="002648BD">
        <w:t xml:space="preserve"> is installed and operated by January 1, 2032. </w:t>
      </w:r>
      <w:r w:rsidR="00564CE4">
        <w:t>Although</w:t>
      </w:r>
      <w:r w:rsidRPr="002648BD">
        <w:t xml:space="preserve"> a small number of </w:t>
      </w:r>
      <w:r w:rsidR="007442E0">
        <w:t>U.S. Department of Energy (“</w:t>
      </w:r>
      <w:r w:rsidRPr="002648BD">
        <w:t>DOE</w:t>
      </w:r>
      <w:r w:rsidR="007442E0">
        <w:t>”)</w:t>
      </w:r>
      <w:r w:rsidRPr="002648BD">
        <w:t xml:space="preserve">-funded </w:t>
      </w:r>
      <w:r w:rsidR="007A7792">
        <w:t xml:space="preserve">NGCC with </w:t>
      </w:r>
      <w:r w:rsidRPr="002648BD">
        <w:t xml:space="preserve">CCS projects have been announced in the U.S., </w:t>
      </w:r>
      <w:r w:rsidRPr="002648BD">
        <w:lastRenderedPageBreak/>
        <w:t>none are yet operational</w:t>
      </w:r>
      <w:r w:rsidR="006E46E5">
        <w:t>,</w:t>
      </w:r>
      <w:r w:rsidRPr="002648BD">
        <w:t xml:space="preserve"> and the earliest expected operational date for these federally</w:t>
      </w:r>
      <w:r w:rsidR="006118A7">
        <w:t xml:space="preserve"> </w:t>
      </w:r>
      <w:r w:rsidRPr="002648BD">
        <w:t xml:space="preserve">funded demonstration projects </w:t>
      </w:r>
      <w:r w:rsidR="0084517E">
        <w:t>is</w:t>
      </w:r>
      <w:r w:rsidR="0084517E" w:rsidRPr="002648BD">
        <w:t xml:space="preserve"> </w:t>
      </w:r>
      <w:r w:rsidRPr="002648BD">
        <w:t xml:space="preserve">2030. </w:t>
      </w:r>
      <w:r>
        <w:t xml:space="preserve">As such, </w:t>
      </w:r>
      <w:r w:rsidR="007A7792">
        <w:t>NGCC with</w:t>
      </w:r>
      <w:r w:rsidRPr="002648BD">
        <w:t xml:space="preserve"> CCS </w:t>
      </w:r>
      <w:r w:rsidR="00EF1945">
        <w:t>resources have</w:t>
      </w:r>
      <w:r>
        <w:t xml:space="preserve"> </w:t>
      </w:r>
      <w:r w:rsidRPr="002648BD">
        <w:t>not been adequately demonstrated</w:t>
      </w:r>
      <w:r>
        <w:t>. Further,</w:t>
      </w:r>
      <w:r w:rsidRPr="002648BD">
        <w:t xml:space="preserve"> the immense infrastructure development needed for widespread commercial </w:t>
      </w:r>
      <w:r>
        <w:t xml:space="preserve">CCS </w:t>
      </w:r>
      <w:r w:rsidRPr="002648BD">
        <w:t>deployment</w:t>
      </w:r>
      <w:r w:rsidR="00B775D3" w:rsidRPr="002648BD">
        <w:t xml:space="preserve">, such as buildout of </w:t>
      </w:r>
      <w:r w:rsidR="00B775D3">
        <w:t>carbon dioxide (“</w:t>
      </w:r>
      <w:r w:rsidR="00B775D3" w:rsidRPr="002648BD">
        <w:t>CO</w:t>
      </w:r>
      <w:r w:rsidR="00B775D3" w:rsidRPr="00522220">
        <w:rPr>
          <w:vertAlign w:val="subscript"/>
        </w:rPr>
        <w:t>2</w:t>
      </w:r>
      <w:r w:rsidR="00B775D3">
        <w:t>”)</w:t>
      </w:r>
      <w:r w:rsidR="00B775D3" w:rsidRPr="002648BD">
        <w:t xml:space="preserve"> pipeline networks,</w:t>
      </w:r>
      <w:r w:rsidRPr="002648BD">
        <w:t xml:space="preserve"> is in its infancy. </w:t>
      </w:r>
    </w:p>
    <w:p w14:paraId="7EA1A6A7" w14:textId="430F0C17" w:rsidR="00B23691" w:rsidRPr="002648BD" w:rsidRDefault="00B23691" w:rsidP="00B23691">
      <w:r w:rsidRPr="002648BD">
        <w:t xml:space="preserve">In Georgia, further challenges include the need for more detailed studies to support geologic </w:t>
      </w:r>
      <w:r w:rsidR="00CE3AD2">
        <w:t>storage</w:t>
      </w:r>
      <w:r w:rsidRPr="002648BD">
        <w:t xml:space="preserve"> in the state.</w:t>
      </w:r>
      <w:r w:rsidR="00FB16D9">
        <w:t xml:space="preserve"> In 2024, </w:t>
      </w:r>
      <w:r w:rsidR="00FB16D9" w:rsidRPr="002648BD">
        <w:t>Georgia Power performed limited geologic studies in Georgia to support the advancement of CCS as a future option for new NGCC</w:t>
      </w:r>
      <w:r w:rsidR="00D3020A">
        <w:t>.</w:t>
      </w:r>
      <w:r w:rsidR="00FB2138">
        <w:t xml:space="preserve"> </w:t>
      </w:r>
      <w:r w:rsidR="00D3020A">
        <w:t>T</w:t>
      </w:r>
      <w:r w:rsidR="00FB2138">
        <w:t>he Company</w:t>
      </w:r>
      <w:r w:rsidR="00FB16D9" w:rsidRPr="002648BD">
        <w:t xml:space="preserve"> expects to gain further insights from a recently announced Carbon America DOE-supported study in southeast Georgia over the next several years. While technology advancement timelines are always difficult to predict, the capability for widespread deployment of NGCC with CCS may </w:t>
      </w:r>
      <w:r w:rsidR="00FB16D9">
        <w:t xml:space="preserve">not materialize until </w:t>
      </w:r>
      <w:r w:rsidR="00FB16D9" w:rsidRPr="002648BD">
        <w:t xml:space="preserve">the late 2030s and beyond. </w:t>
      </w:r>
      <w:r w:rsidR="009A4C5F">
        <w:t>As such</w:t>
      </w:r>
      <w:r w:rsidRPr="002648BD">
        <w:t xml:space="preserve">, CCS is currently impractical for implementation for </w:t>
      </w:r>
      <w:r w:rsidR="009A4C5F">
        <w:t>NGCC</w:t>
      </w:r>
      <w:r w:rsidR="007C14B7">
        <w:t xml:space="preserve"> </w:t>
      </w:r>
      <w:r w:rsidR="0077702B">
        <w:t>unit</w:t>
      </w:r>
      <w:r w:rsidRPr="002648BD">
        <w:t xml:space="preserve">s, especially in Georgia, leaving new </w:t>
      </w:r>
      <w:r w:rsidR="002321B2">
        <w:t>NGCC</w:t>
      </w:r>
      <w:r w:rsidRPr="002648BD">
        <w:t xml:space="preserve"> units only one option for compliance – limiting operations to </w:t>
      </w:r>
      <w:r w:rsidR="008D5441">
        <w:t xml:space="preserve">a </w:t>
      </w:r>
      <w:r w:rsidRPr="002648BD">
        <w:t xml:space="preserve">40% capacity factor by 2032. As a practical matter, this results in </w:t>
      </w:r>
      <w:r w:rsidR="007F7143">
        <w:t xml:space="preserve">more than </w:t>
      </w:r>
      <w:r w:rsidRPr="002648BD">
        <w:t xml:space="preserve">two units being required to produce the same amount of energy as previously could have been served by one unit, or </w:t>
      </w:r>
      <w:r w:rsidR="007D5D0B">
        <w:t xml:space="preserve">potentially more than </w:t>
      </w:r>
      <w:r w:rsidRPr="002648BD">
        <w:t xml:space="preserve">twice the capital cost. </w:t>
      </w:r>
    </w:p>
    <w:p w14:paraId="1A834F07" w14:textId="4E4890AF" w:rsidR="00B23691" w:rsidRPr="002648BD" w:rsidRDefault="00B23691" w:rsidP="00B23691">
      <w:r w:rsidRPr="002648BD">
        <w:t xml:space="preserve">For existing coal units, EPA’s 111 GHG Rules outline three compliance options: </w:t>
      </w:r>
      <w:r w:rsidR="004E4D7F">
        <w:t>(</w:t>
      </w:r>
      <w:r w:rsidRPr="002648BD">
        <w:t>1) retire by January 1, 2032</w:t>
      </w:r>
      <w:r w:rsidR="004E4D7F">
        <w:t>;</w:t>
      </w:r>
      <w:r w:rsidRPr="002648BD">
        <w:t xml:space="preserve"> </w:t>
      </w:r>
      <w:r w:rsidR="004E4D7F">
        <w:t>(</w:t>
      </w:r>
      <w:r w:rsidRPr="002648BD">
        <w:t>2) operate CCS with 90% CO</w:t>
      </w:r>
      <w:r w:rsidRPr="00522220">
        <w:rPr>
          <w:vertAlign w:val="subscript"/>
        </w:rPr>
        <w:t>2</w:t>
      </w:r>
      <w:r w:rsidRPr="002648BD">
        <w:t xml:space="preserve"> capture by January 1, 2032</w:t>
      </w:r>
      <w:r w:rsidR="004E4D7F">
        <w:t>;</w:t>
      </w:r>
      <w:r w:rsidRPr="002648BD">
        <w:t xml:space="preserve"> </w:t>
      </w:r>
      <w:r w:rsidR="007D1F7B">
        <w:t>or</w:t>
      </w:r>
      <w:r w:rsidRPr="002648BD">
        <w:t xml:space="preserve"> </w:t>
      </w:r>
      <w:r w:rsidR="004E4D7F">
        <w:t>(</w:t>
      </w:r>
      <w:r w:rsidRPr="002648BD">
        <w:t>3) co-fire 40% natural gas by January 1, 2030 and retire by January 1, 2039.</w:t>
      </w:r>
      <w:r w:rsidR="00EA4933">
        <w:rPr>
          <w:rStyle w:val="FootnoteReference"/>
        </w:rPr>
        <w:footnoteReference w:id="3"/>
      </w:r>
      <w:r w:rsidRPr="002648BD">
        <w:t xml:space="preserve"> However, EPA’s guidelines represent only </w:t>
      </w:r>
      <w:r>
        <w:t xml:space="preserve">the first </w:t>
      </w:r>
      <w:r w:rsidRPr="002648BD">
        <w:t xml:space="preserve">step in the process to finalize unit-specific </w:t>
      </w:r>
      <w:r w:rsidR="001D40AF">
        <w:t>greenhouse gas (“</w:t>
      </w:r>
      <w:r w:rsidRPr="002648BD">
        <w:t>GHG</w:t>
      </w:r>
      <w:r w:rsidR="001D40AF">
        <w:t>”)</w:t>
      </w:r>
      <w:r w:rsidRPr="002648BD">
        <w:t xml:space="preserve"> requirements. Under the Clean Air Act, states are charged with developing 111 state plans for existing units, in recognition that regional and site-specific factors are important considerations for the existing fleet and that states may finalize requirements that differ from EPA’s guidelines. Georgia </w:t>
      </w:r>
      <w:r w:rsidR="00E928BD">
        <w:t>Environmental Protection Division (“</w:t>
      </w:r>
      <w:r w:rsidRPr="002648BD">
        <w:t>EPD</w:t>
      </w:r>
      <w:r w:rsidR="00E928BD">
        <w:t>”)</w:t>
      </w:r>
      <w:r w:rsidRPr="002648BD">
        <w:t xml:space="preserve"> is required to develop </w:t>
      </w:r>
      <w:r w:rsidR="00D429DA">
        <w:t xml:space="preserve">and submit </w:t>
      </w:r>
      <w:r w:rsidRPr="002648BD">
        <w:t>a state plan by May 2026 to EPA for review and approval by mid</w:t>
      </w:r>
      <w:r w:rsidR="00A36C1E">
        <w:t>-</w:t>
      </w:r>
      <w:r w:rsidRPr="002648BD">
        <w:t xml:space="preserve">2027. If </w:t>
      </w:r>
      <w:r w:rsidR="00C921E2">
        <w:t xml:space="preserve">a state plan is </w:t>
      </w:r>
      <w:r w:rsidRPr="002648BD">
        <w:t>disapprove</w:t>
      </w:r>
      <w:r w:rsidR="00C921E2">
        <w:t>d</w:t>
      </w:r>
      <w:r w:rsidRPr="002648BD">
        <w:t xml:space="preserve">, </w:t>
      </w:r>
      <w:r w:rsidR="00C921E2">
        <w:t xml:space="preserve">EPA </w:t>
      </w:r>
      <w:r w:rsidRPr="002648BD">
        <w:t>has another year to develop a federal plan to take its place.</w:t>
      </w:r>
    </w:p>
    <w:p w14:paraId="3A7B8AD9" w14:textId="2859CEAE" w:rsidR="00B23691" w:rsidRPr="00892254" w:rsidRDefault="00B23691" w:rsidP="00B23691">
      <w:r w:rsidRPr="00892254">
        <w:t xml:space="preserve">The 111 GHG </w:t>
      </w:r>
      <w:r w:rsidR="00770AD4">
        <w:t>R</w:t>
      </w:r>
      <w:r w:rsidRPr="00892254">
        <w:t xml:space="preserve">ules </w:t>
      </w:r>
      <w:r w:rsidR="005268DF">
        <w:t>seek</w:t>
      </w:r>
      <w:r>
        <w:t xml:space="preserve"> to</w:t>
      </w:r>
      <w:r w:rsidRPr="00892254">
        <w:t xml:space="preserve"> in</w:t>
      </w:r>
      <w:r>
        <w:t>f</w:t>
      </w:r>
      <w:r w:rsidRPr="00892254">
        <w:t xml:space="preserve">luence energy policy by </w:t>
      </w:r>
      <w:r w:rsidR="00FB2DCD">
        <w:t>limiting</w:t>
      </w:r>
      <w:r w:rsidR="00FB2DCD" w:rsidRPr="00892254">
        <w:t xml:space="preserve"> </w:t>
      </w:r>
      <w:r w:rsidRPr="00892254">
        <w:t xml:space="preserve">the resource mix </w:t>
      </w:r>
      <w:r w:rsidR="00FB2DCD">
        <w:t>and operational</w:t>
      </w:r>
      <w:r w:rsidRPr="00892254">
        <w:t xml:space="preserve"> choices of power companies. With stringent emissions limits, these rules push utilities toward </w:t>
      </w:r>
      <w:r>
        <w:t xml:space="preserve">early retirement of coal and </w:t>
      </w:r>
      <w:r w:rsidRPr="00892254">
        <w:t>greater reliance on natural gas despite the infrastructural and logistical challenges that accompany such a transition</w:t>
      </w:r>
      <w:r w:rsidR="000620C5">
        <w:t xml:space="preserve"> without adequate time</w:t>
      </w:r>
      <w:r w:rsidR="00174BB6">
        <w:t>lines</w:t>
      </w:r>
      <w:r w:rsidRPr="00892254">
        <w:t xml:space="preserve">. It is important to note that while the Georgia EPD plays a critical role in developing state plans and compliance strategies, it does not possess the authority to mandate the retirement of generating units. This responsibility lies solely with the </w:t>
      </w:r>
      <w:r w:rsidR="00FB2DCD">
        <w:t>Georgia Public Service Commission (“G</w:t>
      </w:r>
      <w:r w:rsidRPr="00892254">
        <w:t>PSC</w:t>
      </w:r>
      <w:r w:rsidR="00FB2DCD">
        <w:t>”</w:t>
      </w:r>
      <w:r w:rsidR="005F7800">
        <w:t xml:space="preserve"> or the “Commission</w:t>
      </w:r>
      <w:r w:rsidR="00FB2DCD">
        <w:t>”)</w:t>
      </w:r>
      <w:r w:rsidRPr="00892254">
        <w:t>, ensuring that any decision to retire units considers broader impacts on energy reliability, affordability, and long-term resource planning.</w:t>
      </w:r>
    </w:p>
    <w:p w14:paraId="308A6F5D" w14:textId="15CB7A24" w:rsidR="00B23691" w:rsidRDefault="00B23691" w:rsidP="00B23691">
      <w:r w:rsidRPr="002648BD">
        <w:lastRenderedPageBreak/>
        <w:t xml:space="preserve">Georgia EPD </w:t>
      </w:r>
      <w:r>
        <w:t>may</w:t>
      </w:r>
      <w:r w:rsidRPr="002648BD">
        <w:t xml:space="preserve"> undergo rulemaking in 2025 to set the basis for the state plan due </w:t>
      </w:r>
      <w:r w:rsidR="00F76EB7">
        <w:t xml:space="preserve">to EPA </w:t>
      </w:r>
      <w:r w:rsidRPr="002648BD">
        <w:t xml:space="preserve">the following year. While this means some uncertainty </w:t>
      </w:r>
      <w:r>
        <w:t xml:space="preserve">remains </w:t>
      </w:r>
      <w:r w:rsidRPr="002648BD">
        <w:t xml:space="preserve">in the final requirements for Plant Bowen and Plant Scherer, the 111 GHG Rules provide insight to the compliance pathways that </w:t>
      </w:r>
      <w:r>
        <w:t xml:space="preserve">may </w:t>
      </w:r>
      <w:r w:rsidRPr="002648BD">
        <w:t xml:space="preserve">be adopted by Georgia EPD and </w:t>
      </w:r>
      <w:r>
        <w:t xml:space="preserve">are likely to be </w:t>
      </w:r>
      <w:r w:rsidRPr="002648BD">
        <w:t>approv</w:t>
      </w:r>
      <w:r w:rsidR="00F76EB7">
        <w:t>ed</w:t>
      </w:r>
      <w:r w:rsidRPr="002648BD">
        <w:t xml:space="preserve"> by EPA. For the compliance pathways in EPA’s guidelines, none </w:t>
      </w:r>
      <w:r w:rsidR="0022701E">
        <w:t xml:space="preserve">are </w:t>
      </w:r>
      <w:r>
        <w:t>practically</w:t>
      </w:r>
      <w:r w:rsidRPr="002648BD">
        <w:t xml:space="preserve"> achievable in their exact forms, but the natural gas co-firing option is the most realistic of the three</w:t>
      </w:r>
      <w:r w:rsidR="008D0AF4">
        <w:t xml:space="preserve"> for Georgia Power</w:t>
      </w:r>
      <w:r w:rsidRPr="002648BD">
        <w:t>. Retirement by January 1, 2032</w:t>
      </w:r>
      <w:r>
        <w:t>,</w:t>
      </w:r>
      <w:r w:rsidRPr="002648BD">
        <w:t xml:space="preserve"> for Plant Bowen or Plant Scherer is not </w:t>
      </w:r>
      <w:r w:rsidR="00C07F62">
        <w:t>practicable</w:t>
      </w:r>
      <w:r w:rsidR="00C07F62" w:rsidRPr="002648BD">
        <w:t xml:space="preserve"> </w:t>
      </w:r>
      <w:r w:rsidRPr="002648BD">
        <w:t xml:space="preserve">considering the load growth projected in Georgia. </w:t>
      </w:r>
      <w:r>
        <w:t xml:space="preserve">Although CCS research and development is much further along for coal than it is for natural gas, </w:t>
      </w:r>
      <w:r w:rsidRPr="002648BD">
        <w:t>CCS by January 1, 2032</w:t>
      </w:r>
      <w:r>
        <w:t>,</w:t>
      </w:r>
      <w:r w:rsidRPr="002648BD">
        <w:t xml:space="preserve"> is </w:t>
      </w:r>
      <w:r>
        <w:t xml:space="preserve">still </w:t>
      </w:r>
      <w:r w:rsidRPr="002648BD">
        <w:t xml:space="preserve">not realistic </w:t>
      </w:r>
      <w:r>
        <w:t xml:space="preserve">for Plant Bowen or Plant Scherer </w:t>
      </w:r>
      <w:r w:rsidRPr="002648BD">
        <w:t xml:space="preserve">given </w:t>
      </w:r>
      <w:r w:rsidR="008D0AF4">
        <w:t xml:space="preserve">current </w:t>
      </w:r>
      <w:r>
        <w:t>cost, permitting, and infrastructure obstacles</w:t>
      </w:r>
      <w:r w:rsidRPr="002648BD">
        <w:t xml:space="preserve">. </w:t>
      </w:r>
    </w:p>
    <w:p w14:paraId="49DF1608" w14:textId="5B44597F" w:rsidR="00B23691" w:rsidRPr="002648BD" w:rsidRDefault="00B23691" w:rsidP="00B23691">
      <w:r w:rsidRPr="002648BD">
        <w:t>As a part of Georgia Power</w:t>
      </w:r>
      <w:r w:rsidR="008D0AF4">
        <w:t>’s</w:t>
      </w:r>
      <w:r w:rsidRPr="002648BD">
        <w:t xml:space="preserve"> ECS, the 111 GHG Rule</w:t>
      </w:r>
      <w:r w:rsidR="00B2082F">
        <w:t>s</w:t>
      </w:r>
      <w:r w:rsidRPr="002648BD">
        <w:t xml:space="preserve"> strategy for </w:t>
      </w:r>
      <w:r w:rsidR="008D0AF4">
        <w:t xml:space="preserve">Plant </w:t>
      </w:r>
      <w:r w:rsidRPr="002648BD">
        <w:t>Bowen and</w:t>
      </w:r>
      <w:r w:rsidR="008D0AF4">
        <w:t xml:space="preserve"> Plant</w:t>
      </w:r>
      <w:r w:rsidRPr="002648BD">
        <w:t xml:space="preserve"> Scherer is to </w:t>
      </w:r>
      <w:r w:rsidR="00D73306" w:rsidRPr="002648BD">
        <w:t>pursue the natural gas co-firing compliance pathway</w:t>
      </w:r>
      <w:r w:rsidR="00D14C66">
        <w:t>, starting wit</w:t>
      </w:r>
      <w:r w:rsidR="00901855">
        <w:t>h</w:t>
      </w:r>
      <w:r w:rsidR="00D73306">
        <w:t xml:space="preserve"> </w:t>
      </w:r>
      <w:r>
        <w:t>engag</w:t>
      </w:r>
      <w:r w:rsidR="00901855">
        <w:t>ing</w:t>
      </w:r>
      <w:r>
        <w:t xml:space="preserve"> engineering firms to perform boiler studies </w:t>
      </w:r>
      <w:r w:rsidRPr="002648BD">
        <w:t xml:space="preserve">to determine potential designs for adding natural gas co-firing capability as quickly as possible. Georgia Power will also engage with Georgia EPD and other stakeholders on the compliance timeline and requirements that will minimize the impacts to reliability and affordability for customers. While these activities can be paused or slowed down in the event of a future legal decision or policy change, waiting to start these activities could have profound consequences for resource planning in the event the rules are upheld. </w:t>
      </w:r>
    </w:p>
    <w:p w14:paraId="0E5D032E" w14:textId="028A8209" w:rsidR="00B23691" w:rsidRPr="00B23691" w:rsidRDefault="00B23691" w:rsidP="00822E25">
      <w:pPr>
        <w:pStyle w:val="Heading3noTOC"/>
      </w:pPr>
      <w:r w:rsidRPr="00B23691">
        <w:t xml:space="preserve">Supplemental </w:t>
      </w:r>
      <w:r w:rsidR="00E15733">
        <w:t xml:space="preserve">ELG </w:t>
      </w:r>
      <w:r w:rsidRPr="00B23691">
        <w:t>Rule Compliance Strategy</w:t>
      </w:r>
    </w:p>
    <w:p w14:paraId="214FC01F" w14:textId="2A540267" w:rsidR="00B23691" w:rsidRPr="002648BD" w:rsidRDefault="00B23691" w:rsidP="00B23691">
      <w:r>
        <w:t xml:space="preserve">EPA’s Supplemental </w:t>
      </w:r>
      <w:r w:rsidR="00E15733">
        <w:t xml:space="preserve">ELG </w:t>
      </w:r>
      <w:r>
        <w:t xml:space="preserve">Rule represents the third major revision to the </w:t>
      </w:r>
      <w:r w:rsidR="000E41F6">
        <w:t>Effluent Limitation</w:t>
      </w:r>
      <w:r w:rsidR="00CC4083">
        <w:t>s</w:t>
      </w:r>
      <w:r w:rsidR="000E41F6">
        <w:t xml:space="preserve"> Guidelines (“</w:t>
      </w:r>
      <w:r>
        <w:t>ELGs</w:t>
      </w:r>
      <w:r w:rsidR="000E41F6">
        <w:t>”)</w:t>
      </w:r>
      <w:r>
        <w:t xml:space="preserve"> in less than 10 years. </w:t>
      </w:r>
      <w:r w:rsidR="002739B0">
        <w:t>In fact</w:t>
      </w:r>
      <w:r>
        <w:t>, implementation of the 2020 ELG</w:t>
      </w:r>
      <w:r w:rsidR="00080703">
        <w:t xml:space="preserve"> Reconsideration</w:t>
      </w:r>
      <w:r>
        <w:t xml:space="preserve"> Rule is still underway at Plant Bowen and Plant Scherer. The Supplemental </w:t>
      </w:r>
      <w:r w:rsidR="00E15733">
        <w:t>ELG</w:t>
      </w:r>
      <w:r>
        <w:t xml:space="preserve"> Rule finalizes changes to requirements for various </w:t>
      </w:r>
      <w:r w:rsidR="002739B0">
        <w:t>waste streams</w:t>
      </w:r>
      <w:r>
        <w:t xml:space="preserve">, with revisions to scrubber wastewater and combustion residual leachate </w:t>
      </w:r>
      <w:r w:rsidR="00A347B7">
        <w:t>(“CRL”)</w:t>
      </w:r>
      <w:r>
        <w:t xml:space="preserve"> requirements being most impactful to Georgia Power facilities.</w:t>
      </w:r>
    </w:p>
    <w:p w14:paraId="0B8A38E3" w14:textId="6163538A" w:rsidR="00B23691" w:rsidRPr="002648BD" w:rsidRDefault="00B23691" w:rsidP="00B23691">
      <w:r w:rsidRPr="002648BD">
        <w:t xml:space="preserve">The new </w:t>
      </w:r>
      <w:r w:rsidR="00A347B7">
        <w:t>CRL</w:t>
      </w:r>
      <w:r w:rsidRPr="002648BD">
        <w:t xml:space="preserve"> requirements will require the addition of treatment systems for leachate collection systems at </w:t>
      </w:r>
      <w:r w:rsidR="003F3E68">
        <w:t>coal combustion residual (“</w:t>
      </w:r>
      <w:r w:rsidRPr="002648BD">
        <w:t>CCR</w:t>
      </w:r>
      <w:r w:rsidR="003F3E68">
        <w:t>”)</w:t>
      </w:r>
      <w:r w:rsidRPr="002648BD">
        <w:t xml:space="preserve"> landfills or closed ash ponds. For facilities with active coal plant operations beyond 2034, leachate cannot be discharged, meaning the requirement is for “zero liquid discharge” (</w:t>
      </w:r>
      <w:r w:rsidR="00ED74F7">
        <w:t>“</w:t>
      </w:r>
      <w:r w:rsidRPr="002648BD">
        <w:t>ZLD</w:t>
      </w:r>
      <w:r w:rsidR="00ED74F7">
        <w:t>”</w:t>
      </w:r>
      <w:r w:rsidRPr="002648BD">
        <w:t xml:space="preserve">). For active landfills at Plant Bowen and </w:t>
      </w:r>
      <w:r w:rsidR="00673F2E">
        <w:t>Plant</w:t>
      </w:r>
      <w:r w:rsidRPr="002648BD">
        <w:t xml:space="preserve"> Scherer, the ZLD limit must be met by </w:t>
      </w:r>
      <w:r w:rsidR="0021644C">
        <w:t xml:space="preserve">no later than </w:t>
      </w:r>
      <w:r w:rsidRPr="002648BD">
        <w:t xml:space="preserve">December 31, </w:t>
      </w:r>
      <w:r w:rsidR="00EF4241" w:rsidRPr="002648BD">
        <w:t>2029,</w:t>
      </w:r>
      <w:r w:rsidRPr="002648BD">
        <w:t xml:space="preserve"> or the date </w:t>
      </w:r>
      <w:r w:rsidR="001B5B39">
        <w:t>prescribed in</w:t>
      </w:r>
      <w:r w:rsidRPr="002648BD">
        <w:t xml:space="preserve"> the </w:t>
      </w:r>
      <w:r w:rsidR="00673F2E" w:rsidRPr="006E20C5">
        <w:rPr>
          <w:rFonts w:cs="Arial"/>
          <w:szCs w:val="24"/>
        </w:rPr>
        <w:t>National Pollutant Discharge Elimination System (“</w:t>
      </w:r>
      <w:r w:rsidRPr="006E20C5">
        <w:rPr>
          <w:rFonts w:cs="Arial"/>
          <w:szCs w:val="24"/>
        </w:rPr>
        <w:t>NPDES</w:t>
      </w:r>
      <w:r w:rsidR="00673F2E" w:rsidRPr="006E20C5">
        <w:rPr>
          <w:rFonts w:cs="Arial"/>
          <w:szCs w:val="24"/>
        </w:rPr>
        <w:t>”)</w:t>
      </w:r>
      <w:r w:rsidRPr="002648BD">
        <w:t xml:space="preserve"> permit. For facilities without active coal plant operations, the leachate must meet certain limits before discharge, requiring a combination of physical and chemical treatment. For other landfills or closed ash ponds with leachate collection systems, the compliance deadline is </w:t>
      </w:r>
      <w:r w:rsidR="00D32A72">
        <w:t>also no later than</w:t>
      </w:r>
      <w:r w:rsidRPr="002648BD">
        <w:t xml:space="preserve"> December 31, </w:t>
      </w:r>
      <w:r w:rsidR="00EF4241" w:rsidRPr="002648BD">
        <w:t>2029,</w:t>
      </w:r>
      <w:r w:rsidRPr="002648BD">
        <w:t xml:space="preserve"> or the date </w:t>
      </w:r>
      <w:r w:rsidR="001B5B39">
        <w:t>prescribed in</w:t>
      </w:r>
      <w:r w:rsidRPr="002648BD">
        <w:t xml:space="preserve"> the NPDES permit</w:t>
      </w:r>
      <w:r w:rsidR="00A347F8">
        <w:t>,</w:t>
      </w:r>
      <w:r w:rsidRPr="002648BD">
        <w:t xml:space="preserve"> or the date upon which leachate collection systems are in place after 2029.</w:t>
      </w:r>
      <w:r>
        <w:t xml:space="preserve"> The Company’s</w:t>
      </w:r>
      <w:r w:rsidDel="00942AD9">
        <w:t xml:space="preserve"> </w:t>
      </w:r>
      <w:r w:rsidR="00942AD9">
        <w:t>comp</w:t>
      </w:r>
      <w:r w:rsidR="004B36C3">
        <w:t>liance strategy</w:t>
      </w:r>
      <w:r w:rsidR="00942AD9">
        <w:t xml:space="preserve"> </w:t>
      </w:r>
      <w:r>
        <w:t xml:space="preserve">for </w:t>
      </w:r>
      <w:r w:rsidR="00673F2E">
        <w:t>CR</w:t>
      </w:r>
      <w:r w:rsidR="00A347B7">
        <w:t>L</w:t>
      </w:r>
      <w:r>
        <w:t xml:space="preserve"> includes capital costs to meet ZLD limitations at Plants Bowen and Scherer</w:t>
      </w:r>
      <w:r w:rsidR="00DF4F4F">
        <w:t>,</w:t>
      </w:r>
      <w:r>
        <w:t xml:space="preserve"> as well as </w:t>
      </w:r>
      <w:r w:rsidR="00673F2E">
        <w:t>Asset Retirement Obligation (“</w:t>
      </w:r>
      <w:r>
        <w:t>ARO</w:t>
      </w:r>
      <w:r w:rsidR="00673F2E">
        <w:t>”)</w:t>
      </w:r>
      <w:r>
        <w:t xml:space="preserve"> estimates for physical chemical treatment at retired facilities with leachate collection systems. </w:t>
      </w:r>
    </w:p>
    <w:p w14:paraId="50B504DA" w14:textId="19B07A31" w:rsidR="00B23691" w:rsidRPr="002648BD" w:rsidRDefault="00B23691" w:rsidP="00B23691">
      <w:r w:rsidRPr="002648BD">
        <w:t xml:space="preserve">For scrubber wastewater, the </w:t>
      </w:r>
      <w:r w:rsidR="008E15E6">
        <w:t xml:space="preserve">Supplemental </w:t>
      </w:r>
      <w:r w:rsidR="00E15733">
        <w:t>ELG</w:t>
      </w:r>
      <w:r w:rsidRPr="002648BD">
        <w:t xml:space="preserve"> Rule similarly requires that facilities with active coal plant operations beyond 2034 must be ZLD </w:t>
      </w:r>
      <w:r w:rsidR="00682975">
        <w:t xml:space="preserve">compliant </w:t>
      </w:r>
      <w:r w:rsidRPr="002648BD">
        <w:t xml:space="preserve">by </w:t>
      </w:r>
      <w:r w:rsidR="00B25AA4">
        <w:t xml:space="preserve">no later than </w:t>
      </w:r>
      <w:r w:rsidRPr="002648BD">
        <w:t>December 31, 2029</w:t>
      </w:r>
      <w:r w:rsidR="00EF4241">
        <w:t>,</w:t>
      </w:r>
      <w:r w:rsidRPr="002648BD">
        <w:t xml:space="preserve"> or </w:t>
      </w:r>
      <w:r w:rsidRPr="002648BD">
        <w:lastRenderedPageBreak/>
        <w:t xml:space="preserve">the date </w:t>
      </w:r>
      <w:r w:rsidR="00317485">
        <w:t>prescribed in</w:t>
      </w:r>
      <w:r w:rsidRPr="002648BD">
        <w:t xml:space="preserve"> the NPDES permit. The rule specifies that compliance implementation efforts for the 2020 ELG</w:t>
      </w:r>
      <w:r w:rsidR="001D6A74">
        <w:t xml:space="preserve"> Reconsideration</w:t>
      </w:r>
      <w:r w:rsidRPr="002648BD">
        <w:t xml:space="preserve"> Rule must continue towards the compliance deadline of December 31, 2025, and facilities must operate in compliance with the 2020 </w:t>
      </w:r>
      <w:r w:rsidR="00342292">
        <w:t>ELG</w:t>
      </w:r>
      <w:r w:rsidR="004275CA">
        <w:t xml:space="preserve"> Reconsideration</w:t>
      </w:r>
      <w:r w:rsidR="00342292">
        <w:t xml:space="preserve"> R</w:t>
      </w:r>
      <w:r w:rsidR="00342292" w:rsidRPr="002648BD">
        <w:t xml:space="preserve">ule </w:t>
      </w:r>
      <w:r w:rsidRPr="002648BD">
        <w:t>until the ZLD requirements can be met. Plant Scherer and the very limited number of facilities across the country that qualify under the Voluntary Incentives Program (</w:t>
      </w:r>
      <w:r w:rsidR="00CD1C8F">
        <w:t>“</w:t>
      </w:r>
      <w:r w:rsidRPr="002648BD">
        <w:t>VIP</w:t>
      </w:r>
      <w:r w:rsidR="00CD1C8F">
        <w:t>”</w:t>
      </w:r>
      <w:r w:rsidRPr="002648BD">
        <w:t xml:space="preserve">) are the exception to this, as they are allowed to comply with the 2020 </w:t>
      </w:r>
      <w:r w:rsidR="00EF4241" w:rsidRPr="002648BD">
        <w:t>ELG</w:t>
      </w:r>
      <w:r w:rsidR="00EF4241">
        <w:t xml:space="preserve"> </w:t>
      </w:r>
      <w:r w:rsidR="00F93D6B">
        <w:t xml:space="preserve">Reconsideration </w:t>
      </w:r>
      <w:r w:rsidRPr="002648BD">
        <w:t>Rule by December 31, 2028</w:t>
      </w:r>
      <w:r w:rsidR="00F93D6B">
        <w:t>,</w:t>
      </w:r>
      <w:r w:rsidRPr="002648BD">
        <w:t xml:space="preserve"> with their scrubber wastewater requirements unchanged</w:t>
      </w:r>
      <w:r w:rsidR="00B25AA4">
        <w:t xml:space="preserve"> by the Supplemental ELG Rule</w:t>
      </w:r>
      <w:r w:rsidRPr="002648BD">
        <w:t xml:space="preserve">. </w:t>
      </w:r>
    </w:p>
    <w:p w14:paraId="4B87F55D" w14:textId="4B538D06" w:rsidR="00B23691" w:rsidRPr="002648BD" w:rsidRDefault="27BE5AA0" w:rsidP="00B23691">
      <w:r>
        <w:t xml:space="preserve">For Plant Bowen scrubber operations, the Supplemental </w:t>
      </w:r>
      <w:r w:rsidR="12CEC625">
        <w:t>ELG</w:t>
      </w:r>
      <w:r>
        <w:t xml:space="preserve"> Rule has significant implications. The requirements finalized by EPA were based on assumptions of </w:t>
      </w:r>
      <w:r w:rsidR="5243069E">
        <w:t xml:space="preserve">a suite of </w:t>
      </w:r>
      <w:r w:rsidR="0F945C7E">
        <w:t>technologies</w:t>
      </w:r>
      <w:r>
        <w:t xml:space="preserve"> and recirculation of scrubber wastewater to plant process water to prevent discharge. Unfortunately, EPA’s assumed technology solution</w:t>
      </w:r>
      <w:r w:rsidR="0F945C7E">
        <w:t>s</w:t>
      </w:r>
      <w:r>
        <w:t xml:space="preserve"> </w:t>
      </w:r>
      <w:r w:rsidR="0F945C7E">
        <w:t>are</w:t>
      </w:r>
      <w:r>
        <w:t xml:space="preserve"> very difficult to implement at Plant Bowen due to site-specific conditions. As such, Georgia Power’s </w:t>
      </w:r>
      <w:r w:rsidR="51259EDB">
        <w:t>current</w:t>
      </w:r>
      <w:r>
        <w:t xml:space="preserve"> estimate of the capital cost to implement compliance based on EPA’s assumptions is </w:t>
      </w:r>
      <w:r w:rsidR="005D3758">
        <w:t>more than six times EPA’s estimate</w:t>
      </w:r>
      <w:r>
        <w:t xml:space="preserve">. In addition, EPA’s solution has implications for ash management and </w:t>
      </w:r>
      <w:r w:rsidR="1536BAA9">
        <w:t>electric generating unit (“</w:t>
      </w:r>
      <w:r>
        <w:t>EGU</w:t>
      </w:r>
      <w:r w:rsidR="1536BAA9">
        <w:t>”)</w:t>
      </w:r>
      <w:r>
        <w:t xml:space="preserve"> operations. The ECS includes the membrane</w:t>
      </w:r>
      <w:r w:rsidR="1B602723">
        <w:t xml:space="preserve"> with</w:t>
      </w:r>
      <w:r w:rsidR="26A7EDF0">
        <w:t xml:space="preserve"> evaporator</w:t>
      </w:r>
      <w:r>
        <w:t xml:space="preserve">-based treatment as the strategy for </w:t>
      </w:r>
      <w:r w:rsidR="75228C1E">
        <w:t xml:space="preserve">Plant </w:t>
      </w:r>
      <w:r>
        <w:t>Bowen scrubber wastewater, but the Company remains committed to actively investigating engineering and technology options to optimize and refine the compliance strategy in the best interests of customers.</w:t>
      </w:r>
      <w:r w:rsidR="192C99F5">
        <w:t xml:space="preserve"> </w:t>
      </w:r>
      <w:r w:rsidR="79A81AE1">
        <w:t>If available, t</w:t>
      </w:r>
      <w:r w:rsidR="192C99F5">
        <w:t>he Company</w:t>
      </w:r>
      <w:r w:rsidR="3FBD77C5">
        <w:t xml:space="preserve"> will provid</w:t>
      </w:r>
      <w:r w:rsidR="1CCB5661">
        <w:t>e</w:t>
      </w:r>
      <w:r w:rsidR="79A81AE1">
        <w:t xml:space="preserve"> supplemental</w:t>
      </w:r>
      <w:r w:rsidR="1CCB5661">
        <w:t xml:space="preserve"> information durin</w:t>
      </w:r>
      <w:r w:rsidR="79A81AE1">
        <w:t>g the 2025 IRP process</w:t>
      </w:r>
      <w:r w:rsidR="6A15599D">
        <w:t xml:space="preserve"> regarding </w:t>
      </w:r>
      <w:r w:rsidR="55C41AFC">
        <w:t xml:space="preserve">alternative </w:t>
      </w:r>
      <w:r w:rsidR="6A15599D">
        <w:t>ELG compliance options for Plant Bowen</w:t>
      </w:r>
      <w:r w:rsidR="0E7F2A3C">
        <w:t>.</w:t>
      </w:r>
      <w:r>
        <w:t xml:space="preserve"> </w:t>
      </w:r>
      <w:r w:rsidR="1CCABE98">
        <w:t xml:space="preserve"> </w:t>
      </w:r>
    </w:p>
    <w:p w14:paraId="39DCC647" w14:textId="77777777" w:rsidR="00B23691" w:rsidRPr="00B23691" w:rsidRDefault="00B23691" w:rsidP="00822E25">
      <w:pPr>
        <w:pStyle w:val="Heading3noTOC"/>
      </w:pPr>
      <w:r w:rsidRPr="00B23691">
        <w:t>MATS RTR Compliance Strategy</w:t>
      </w:r>
    </w:p>
    <w:p w14:paraId="65AF754C" w14:textId="7B19A0BB" w:rsidR="00B23691" w:rsidRPr="002648BD" w:rsidRDefault="00B23691" w:rsidP="00B23691">
      <w:r w:rsidRPr="002648BD">
        <w:t>The MATS RTR is the least complex of the power sector rules finalized in 2024. The rule revision sets a more stringent particulate matter (</w:t>
      </w:r>
      <w:r w:rsidR="00EC070F">
        <w:t>“</w:t>
      </w:r>
      <w:r w:rsidRPr="002648BD">
        <w:t>PM</w:t>
      </w:r>
      <w:r w:rsidR="00EC070F">
        <w:t>”</w:t>
      </w:r>
      <w:r w:rsidRPr="002648BD">
        <w:t>) limit for coal units and removes compliance demonstration options to perform periodic stack testing of emissions that existed under the original MATS rule. With these changes, the rule only allows one method of PM compliance demonstration – PM continuous emissions monitoring systems (</w:t>
      </w:r>
      <w:r w:rsidR="003F6CE6">
        <w:t>“</w:t>
      </w:r>
      <w:r w:rsidRPr="002648BD">
        <w:t>PM CEMS</w:t>
      </w:r>
      <w:r w:rsidR="003F6CE6">
        <w:t>”</w:t>
      </w:r>
      <w:r w:rsidRPr="002648BD">
        <w:t xml:space="preserve">), which was also a compliance option under the original MATS rule. As such, the </w:t>
      </w:r>
      <w:r w:rsidR="008A74FB">
        <w:t xml:space="preserve">required </w:t>
      </w:r>
      <w:r w:rsidRPr="002648BD">
        <w:t xml:space="preserve">compliance strategy is </w:t>
      </w:r>
      <w:proofErr w:type="gramStart"/>
      <w:r w:rsidRPr="002648BD">
        <w:t>fairly straightforward</w:t>
      </w:r>
      <w:proofErr w:type="gramEnd"/>
      <w:r w:rsidR="006D1589">
        <w:t xml:space="preserve"> with low risk of legal changes</w:t>
      </w:r>
      <w:r w:rsidRPr="002648BD">
        <w:t>, albeit with some technical challenges. The compliance deadline</w:t>
      </w:r>
      <w:r w:rsidR="00FC42B8">
        <w:t xml:space="preserve"> of July 2027</w:t>
      </w:r>
      <w:r w:rsidRPr="002648BD">
        <w:t xml:space="preserve"> is the soonest</w:t>
      </w:r>
      <w:r w:rsidR="002A234B">
        <w:t xml:space="preserve"> of the</w:t>
      </w:r>
      <w:r w:rsidR="00FC42B8">
        <w:t xml:space="preserve"> four rules finalized in 2024</w:t>
      </w:r>
      <w:r w:rsidRPr="002648BD">
        <w:t xml:space="preserve">. </w:t>
      </w:r>
      <w:proofErr w:type="gramStart"/>
      <w:r w:rsidRPr="002648BD">
        <w:t>All of</w:t>
      </w:r>
      <w:proofErr w:type="gramEnd"/>
      <w:r w:rsidRPr="002648BD">
        <w:t xml:space="preserve"> these factors drive the Company to move ahead quickly with compliance implementation.</w:t>
      </w:r>
    </w:p>
    <w:p w14:paraId="1733C6D8" w14:textId="52BF6FBD" w:rsidR="00B23691" w:rsidRPr="002648BD" w:rsidRDefault="003B31B9" w:rsidP="00B23691">
      <w:r>
        <w:t xml:space="preserve">The Company does not anticipate installing additional controls to meet the lower PM standard. </w:t>
      </w:r>
      <w:r w:rsidR="00B23691">
        <w:t>The Company’s 2025 ECS includes the procurement of PM CEMS for all units at Plant Bowen and Plant Scherer</w:t>
      </w:r>
      <w:r w:rsidR="00B23691" w:rsidRPr="00A571D9">
        <w:t>.</w:t>
      </w:r>
      <w:r w:rsidR="00B23691" w:rsidRPr="002648BD">
        <w:t xml:space="preserve"> </w:t>
      </w:r>
      <w:r>
        <w:t xml:space="preserve">A testing program is currently underway utilizing temporary monitors to determine the type of technology the Company will procure.  </w:t>
      </w:r>
      <w:r w:rsidR="00B23691">
        <w:t xml:space="preserve">The ECS timeline for PM CEMS allows the Company to stagger resources for installation and testing </w:t>
      </w:r>
      <w:proofErr w:type="gramStart"/>
      <w:r w:rsidR="00B23691">
        <w:t>and also</w:t>
      </w:r>
      <w:proofErr w:type="gramEnd"/>
      <w:r w:rsidR="00B23691">
        <w:t xml:space="preserve"> allows a period of time to operate the new monitors to understand emissions profiles through various time periods and modes of operation before compliance with the more stringent standard is required in 2027. </w:t>
      </w:r>
      <w:r>
        <w:t xml:space="preserve">  </w:t>
      </w:r>
    </w:p>
    <w:p w14:paraId="386004F7" w14:textId="17584801" w:rsidR="00B23691" w:rsidRPr="00B23691" w:rsidRDefault="00B23691" w:rsidP="00822E25">
      <w:pPr>
        <w:pStyle w:val="Heading3noTOC"/>
      </w:pPr>
      <w:r w:rsidRPr="00B23691">
        <w:t>CCR Legacy Rule Compliance Strategy</w:t>
      </w:r>
    </w:p>
    <w:p w14:paraId="56AB4FEC" w14:textId="766622D1" w:rsidR="00B23691" w:rsidRPr="002648BD" w:rsidRDefault="00DB1AB4" w:rsidP="00B23691">
      <w:r>
        <w:t xml:space="preserve">In 2024, </w:t>
      </w:r>
      <w:r w:rsidR="00CF3E45">
        <w:t>EPA expanded the</w:t>
      </w:r>
      <w:r w:rsidR="00CB3A3A">
        <w:t xml:space="preserve"> reach of the</w:t>
      </w:r>
      <w:r w:rsidR="00CF3E45">
        <w:t xml:space="preserve"> federal CCR rule to encompass legacy surface impoundments and other accumulations of CCR in the CCR Legacy Rule.  </w:t>
      </w:r>
      <w:r w:rsidR="00697669">
        <w:t>The</w:t>
      </w:r>
      <w:r w:rsidR="00B23691" w:rsidRPr="002648BD">
        <w:t xml:space="preserve"> CCR Legacy Rule is </w:t>
      </w:r>
      <w:r w:rsidR="00B23691" w:rsidRPr="002648BD">
        <w:lastRenderedPageBreak/>
        <w:t>expected to have limited impact on Georgia Power CCR units that</w:t>
      </w:r>
      <w:r w:rsidR="00301683">
        <w:t xml:space="preserve"> meet </w:t>
      </w:r>
      <w:r w:rsidR="00B23691" w:rsidRPr="002648BD">
        <w:t xml:space="preserve">the legacy surface impoundments definition because </w:t>
      </w:r>
      <w:r w:rsidR="00256879">
        <w:t xml:space="preserve">the </w:t>
      </w:r>
      <w:r w:rsidR="00B23691" w:rsidRPr="002648BD">
        <w:t>Georgia CCR Rule</w:t>
      </w:r>
      <w:r w:rsidR="0085708E">
        <w:t>,</w:t>
      </w:r>
      <w:r w:rsidR="00B23691" w:rsidRPr="002648BD" w:rsidDel="0085708E">
        <w:t xml:space="preserve"> </w:t>
      </w:r>
      <w:r w:rsidR="00B23691" w:rsidRPr="002648BD">
        <w:t>finalized in 2016</w:t>
      </w:r>
      <w:r w:rsidR="0085708E">
        <w:t>, was more stringent than the 2015 federal rule</w:t>
      </w:r>
      <w:r w:rsidR="00C43D31">
        <w:t xml:space="preserve"> regulating</w:t>
      </w:r>
      <w:r w:rsidR="00DF6560">
        <w:t xml:space="preserve"> legacy units </w:t>
      </w:r>
      <w:r w:rsidR="00256879">
        <w:t>with</w:t>
      </w:r>
      <w:r w:rsidR="00DF6560">
        <w:t xml:space="preserve"> similar re</w:t>
      </w:r>
      <w:r w:rsidR="001C7463">
        <w:t>quir</w:t>
      </w:r>
      <w:r w:rsidR="00E528C8">
        <w:t>e</w:t>
      </w:r>
      <w:r w:rsidR="001C7463">
        <w:t>ments</w:t>
      </w:r>
      <w:r w:rsidR="00B23691" w:rsidRPr="002648BD">
        <w:t>. Although previously exempt from federal regulation, Georgia Power’s legacy surface impoundments have all been regulated under Georgia EPD’s CCR permitting program, previous state landfill permits, and/or state remediation programs. These units were or are being closed</w:t>
      </w:r>
      <w:r w:rsidR="001D10B0">
        <w:t xml:space="preserve"> according</w:t>
      </w:r>
      <w:r w:rsidR="00B23691" w:rsidRPr="002648BD">
        <w:t xml:space="preserve"> to stringent standards for the protection of the environment. The finalization of the federal rule, however, subjects these legacy units to duplicative requirements and oversight by both the state and federal agencies. While Georgia’s comprehensive CCR, solid waste, and remediation rules have effectively regulated closure of CCR ash ponds and landfills in the state, the EPA’s CCR Legacy Rule adds certain additional requirements. </w:t>
      </w:r>
    </w:p>
    <w:p w14:paraId="0525E28F" w14:textId="4DD3A428" w:rsidR="00B23691" w:rsidRPr="002648BD" w:rsidRDefault="00B23691" w:rsidP="00B23691">
      <w:r w:rsidRPr="002648BD">
        <w:t xml:space="preserve">First, the CCR Legacy Rule defines a new type of CCR unit – CCR management units or </w:t>
      </w:r>
      <w:r w:rsidR="00E25971">
        <w:t>“</w:t>
      </w:r>
      <w:r w:rsidRPr="002648BD">
        <w:t>CCRMUs</w:t>
      </w:r>
      <w:r w:rsidR="00E25971">
        <w:t>”</w:t>
      </w:r>
      <w:r w:rsidRPr="002648BD">
        <w:t xml:space="preserve">. </w:t>
      </w:r>
      <w:r w:rsidR="00A57518">
        <w:t>CCRMUs are areas of noncontainerized storage or management of CCR that are not part of a regulated CCR unit.</w:t>
      </w:r>
      <w:r w:rsidRPr="002648BD">
        <w:t xml:space="preserve"> The rule requires facility evaluations at all current and former coal-fired power plant </w:t>
      </w:r>
      <w:r w:rsidR="004F0163">
        <w:t>facilities</w:t>
      </w:r>
      <w:r w:rsidRPr="002648BD">
        <w:t xml:space="preserve"> to identify the existence of CCRMUs. This labor-intensive effort is due in two parts, within 21 months and 33 months of the final rule. Any CCRMUs that are identified through the facility evaluations are required to close according to federal CCR rule requirements. </w:t>
      </w:r>
    </w:p>
    <w:p w14:paraId="197148EA" w14:textId="1CA96F1F" w:rsidR="00B23691" w:rsidRPr="002648BD" w:rsidRDefault="00B23691" w:rsidP="00B23691">
      <w:r w:rsidRPr="002648BD">
        <w:t xml:space="preserve">Second, the CCR Legacy Rule definition for legacy surface impoundments includes certain CCR units in Georgia that were previously permitted as landfills. </w:t>
      </w:r>
      <w:r w:rsidR="00E66A0B">
        <w:t>Although</w:t>
      </w:r>
      <w:r w:rsidRPr="002648BD">
        <w:t xml:space="preserve"> the applicability of the new rule is not expected to significantly affect Georgia Power’s closure plans, the CCR Legacy Rule has the potential to </w:t>
      </w:r>
      <w:r w:rsidR="16E4AC53">
        <w:t xml:space="preserve">introduce </w:t>
      </w:r>
      <w:r w:rsidR="00A61B27">
        <w:t xml:space="preserve">additional compliance </w:t>
      </w:r>
      <w:r w:rsidRPr="002648BD">
        <w:t xml:space="preserve">timelines </w:t>
      </w:r>
      <w:r w:rsidR="00853E38">
        <w:t>and</w:t>
      </w:r>
      <w:r w:rsidRPr="002648BD">
        <w:t xml:space="preserve"> </w:t>
      </w:r>
      <w:r w:rsidR="30CF1DC9">
        <w:t>impose unnecessary</w:t>
      </w:r>
      <w:r w:rsidR="0A8129DA">
        <w:t xml:space="preserve"> </w:t>
      </w:r>
      <w:r w:rsidRPr="002648BD">
        <w:t>monitoring requirements that may differ from current plans.</w:t>
      </w:r>
    </w:p>
    <w:p w14:paraId="2A06FEFE" w14:textId="02BE84B9" w:rsidR="00B23691" w:rsidRPr="002648BD" w:rsidRDefault="00B23691" w:rsidP="00B23691">
      <w:r>
        <w:t>Third, the CCR Legacy Rule created new definitions for key terms related to the performance standards for ash ponds that are closed in place. These new definitions for infiltration and liquids largely reflect EPA’s new interpretations of these standards, first announced in January 2022, which suggest that lateral infiltration, in addition to vertical, must be minimized to the extent practicable</w:t>
      </w:r>
      <w:r w:rsidR="3B96D938">
        <w:t>. The new definitions further</w:t>
      </w:r>
      <w:r>
        <w:t xml:space="preserve"> expand the long-standing practice of dewatering to include groundwater and not just the free water necessary to allow for stability needed to install effective closure capping. The retroactive applicability of these definitions </w:t>
      </w:r>
      <w:r w:rsidR="79D1D65C">
        <w:t>has been</w:t>
      </w:r>
      <w:r>
        <w:t xml:space="preserve"> legal</w:t>
      </w:r>
      <w:r w:rsidR="00040C72">
        <w:t>ly</w:t>
      </w:r>
      <w:r>
        <w:t xml:space="preserve"> challenge</w:t>
      </w:r>
      <w:r w:rsidR="064948E4">
        <w:t>d</w:t>
      </w:r>
      <w:r>
        <w:t>. While the impact of these definitional changes remains unclear pending legal outcomes, Georgia Power’s closure-in-place units remain under the purview of the EPA-approved Georgia CCR permit program and include engineering controls designed to minimize or prevent the migration of groundwater. Two closure-in-place permits have been finalized by Georgia EPD, with four permit applications still pending.</w:t>
      </w:r>
      <w:r w:rsidR="005F16DC">
        <w:t xml:space="preserve"> Th</w:t>
      </w:r>
      <w:r w:rsidR="005B450F">
        <w:t>ree of the four</w:t>
      </w:r>
      <w:r w:rsidDel="005B450F">
        <w:t xml:space="preserve"> </w:t>
      </w:r>
      <w:r w:rsidR="00F93E96">
        <w:t xml:space="preserve">closure in place </w:t>
      </w:r>
      <w:r w:rsidR="005B450F">
        <w:t>units</w:t>
      </w:r>
      <w:r w:rsidR="000F138F">
        <w:t xml:space="preserve"> awaiting final permits</w:t>
      </w:r>
      <w:r w:rsidR="005B450F">
        <w:t xml:space="preserve"> </w:t>
      </w:r>
      <w:r w:rsidR="00F824EA">
        <w:t xml:space="preserve">have </w:t>
      </w:r>
      <w:r w:rsidR="005B450F">
        <w:t>impermeable geosynthetic cover systems installed</w:t>
      </w:r>
      <w:r w:rsidR="00F824EA">
        <w:t xml:space="preserve"> and are in the final stages of construction.</w:t>
      </w:r>
    </w:p>
    <w:p w14:paraId="697122C6" w14:textId="78511875" w:rsidR="00B23691" w:rsidRPr="00AE0EC0" w:rsidRDefault="00B23691" w:rsidP="00B23691">
      <w:r>
        <w:t>Georgia Power’s ECS for the CCR Legacy Rule includes complying with the administrative applicability reports and website updates required by November 8, 2024, the effective date of the rule</w:t>
      </w:r>
      <w:r w:rsidR="007234FC">
        <w:t>, as well as</w:t>
      </w:r>
      <w:r>
        <w:t xml:space="preserve"> completing the required </w:t>
      </w:r>
      <w:r w:rsidR="007234FC">
        <w:t>facility evaluations</w:t>
      </w:r>
      <w:r>
        <w:t xml:space="preserve"> that began in late 2024. </w:t>
      </w:r>
      <w:r w:rsidR="007234FC">
        <w:t xml:space="preserve">To date, Georgia EPD has issued </w:t>
      </w:r>
      <w:r>
        <w:t>17 CCR permits</w:t>
      </w:r>
      <w:r w:rsidR="007234FC">
        <w:t>, and Georgia Power is coordinating</w:t>
      </w:r>
      <w:r>
        <w:t xml:space="preserve"> with the </w:t>
      </w:r>
      <w:r w:rsidR="00E1410B">
        <w:t xml:space="preserve">agency </w:t>
      </w:r>
      <w:r>
        <w:t xml:space="preserve">on the remaining 14 CCR permit applications. Georgia Power is continuing to implement </w:t>
      </w:r>
      <w:r w:rsidR="00D03D30">
        <w:t>its</w:t>
      </w:r>
      <w:r>
        <w:t xml:space="preserve"> CCR strategy to </w:t>
      </w:r>
      <w:r>
        <w:lastRenderedPageBreak/>
        <w:t xml:space="preserve">permanently close CCR ash ponds and landfills. The Company’s CCR strategy, approved in the 2019 IRP and again in </w:t>
      </w:r>
      <w:r w:rsidR="00883478">
        <w:t xml:space="preserve">the </w:t>
      </w:r>
      <w:r>
        <w:t>2022</w:t>
      </w:r>
      <w:r w:rsidR="00883478">
        <w:t xml:space="preserve"> IRP</w:t>
      </w:r>
      <w:r>
        <w:t xml:space="preserve">, continues to be effectively implemented with significant progress made over the last three years. </w:t>
      </w:r>
      <w:r w:rsidR="00C9102A" w:rsidRPr="000060B6">
        <w:t>Consistent with past practice, the Company plans and sequences work strategically to ensure closure progress continues as required in the shortest amount of time consistent with recognized and generally accepted good engineering practices, while also adjusting the schedule for certain activities to mitigate risk where possible.</w:t>
      </w:r>
      <w:r w:rsidR="00C9102A">
        <w:t xml:space="preserve"> </w:t>
      </w:r>
      <w:r>
        <w:t>The Company</w:t>
      </w:r>
      <w:r w:rsidDel="00B23691">
        <w:t xml:space="preserve"> </w:t>
      </w:r>
      <w:r>
        <w:t>continue</w:t>
      </w:r>
      <w:r w:rsidR="00361F10">
        <w:t>s</w:t>
      </w:r>
      <w:r>
        <w:t xml:space="preserve"> to evaluate opportunities to refine and optimize its closure plans</w:t>
      </w:r>
      <w:r w:rsidR="00BA2051">
        <w:t>.</w:t>
      </w:r>
    </w:p>
    <w:p w14:paraId="52FB7950" w14:textId="376923E4" w:rsidR="003318AD" w:rsidRDefault="00B23691" w:rsidP="000329E7">
      <w:r>
        <w:t xml:space="preserve">In conclusion, </w:t>
      </w:r>
      <w:r w:rsidRPr="00AE0EC0">
        <w:t xml:space="preserve">Georgia Power’s </w:t>
      </w:r>
      <w:r w:rsidR="00547F9D">
        <w:t>ECS</w:t>
      </w:r>
      <w:r w:rsidRPr="00AE0EC0">
        <w:t xml:space="preserve"> seeks to achieve the goals of cost effective short</w:t>
      </w:r>
      <w:r w:rsidR="00AE3375">
        <w:t>-</w:t>
      </w:r>
      <w:r w:rsidRPr="00AE0EC0">
        <w:t xml:space="preserve"> and long-term decision-making, maintaining flexibility to adjust to new regulations and other new information, and ultimately implementing solutions in the best interest of customers. The Company has carefully considered the risks of future changes in environmental requirements and other key factors in making compliance plans. The 2025 ECS includes, among others, plans to ensure compliance with the </w:t>
      </w:r>
      <w:r w:rsidR="003C6AFB">
        <w:t xml:space="preserve">collective suite of </w:t>
      </w:r>
      <w:r>
        <w:t>111 GHG,</w:t>
      </w:r>
      <w:r w:rsidR="007C14B7">
        <w:t xml:space="preserve"> </w:t>
      </w:r>
      <w:r w:rsidRPr="00AE0EC0">
        <w:t>ELG</w:t>
      </w:r>
      <w:r>
        <w:t>,</w:t>
      </w:r>
      <w:r w:rsidRPr="00AE0EC0">
        <w:t xml:space="preserve"> </w:t>
      </w:r>
      <w:r w:rsidR="00214717">
        <w:t xml:space="preserve">MATS, </w:t>
      </w:r>
      <w:r w:rsidRPr="00AE0EC0">
        <w:t xml:space="preserve">and CCR rules for the benefit of customers and reliability of our system. </w:t>
      </w:r>
      <w:r w:rsidR="003318AD">
        <w:br w:type="page"/>
      </w:r>
    </w:p>
    <w:sdt>
      <w:sdtPr>
        <w:rPr>
          <w:rFonts w:asciiTheme="minorHAnsi" w:eastAsiaTheme="minorEastAsia" w:hAnsiTheme="minorHAnsi" w:cstheme="minorBidi"/>
          <w:color w:val="auto"/>
          <w:sz w:val="22"/>
          <w:szCs w:val="22"/>
        </w:rPr>
        <w:id w:val="-814641604"/>
        <w:docPartObj>
          <w:docPartGallery w:val="Table of Contents"/>
          <w:docPartUnique/>
        </w:docPartObj>
      </w:sdtPr>
      <w:sdtEndPr>
        <w:rPr>
          <w:b/>
          <w:bCs/>
          <w:noProof/>
        </w:rPr>
      </w:sdtEndPr>
      <w:sdtContent>
        <w:p w14:paraId="33737D0B" w14:textId="250D1A29" w:rsidR="00835B1F" w:rsidRPr="00DE7613" w:rsidRDefault="00835B1F">
          <w:pPr>
            <w:pStyle w:val="TOCHeading"/>
            <w:rPr>
              <w:rFonts w:asciiTheme="minorHAnsi" w:hAnsiTheme="minorHAnsi"/>
            </w:rPr>
          </w:pPr>
          <w:r w:rsidRPr="00DE7613">
            <w:rPr>
              <w:rFonts w:asciiTheme="minorHAnsi" w:hAnsiTheme="minorHAnsi"/>
            </w:rPr>
            <w:t>Table of Contents</w:t>
          </w:r>
        </w:p>
        <w:p w14:paraId="3C4EC8A9" w14:textId="7405EA19" w:rsidR="00D2033A" w:rsidRDefault="00473222">
          <w:pPr>
            <w:pStyle w:val="TOC1"/>
            <w:tabs>
              <w:tab w:val="left" w:pos="660"/>
              <w:tab w:val="right" w:leader="dot" w:pos="9350"/>
            </w:tabs>
            <w:rPr>
              <w:b w:val="0"/>
              <w:bCs w:val="0"/>
              <w:caps w:val="0"/>
              <w:noProof/>
              <w:kern w:val="2"/>
              <w:sz w:val="24"/>
              <w:szCs w:val="24"/>
              <w14:ligatures w14:val="standardContextual"/>
            </w:rPr>
          </w:pPr>
          <w:r w:rsidRPr="005279D4">
            <w:rPr>
              <w:b w:val="0"/>
              <w:bCs w:val="0"/>
              <w:caps w:val="0"/>
            </w:rPr>
            <w:fldChar w:fldCharType="begin"/>
          </w:r>
          <w:r w:rsidRPr="005279D4">
            <w:rPr>
              <w:b w:val="0"/>
              <w:bCs w:val="0"/>
              <w:caps w:val="0"/>
            </w:rPr>
            <w:instrText xml:space="preserve"> TOC \o "1-3" \h \z \u </w:instrText>
          </w:r>
          <w:r w:rsidRPr="005279D4">
            <w:rPr>
              <w:b w:val="0"/>
              <w:bCs w:val="0"/>
              <w:caps w:val="0"/>
            </w:rPr>
            <w:fldChar w:fldCharType="separate"/>
          </w:r>
          <w:hyperlink w:anchor="_Toc188252312" w:history="1">
            <w:r w:rsidR="00D2033A" w:rsidRPr="00DE7613">
              <w:rPr>
                <w:rStyle w:val="Hyperlink"/>
                <w:rFonts w:asciiTheme="minorHAnsi" w:hAnsiTheme="minorHAnsi"/>
                <w:noProof/>
              </w:rPr>
              <w:t>1.0</w:t>
            </w:r>
            <w:r w:rsidR="00D2033A">
              <w:rPr>
                <w:b w:val="0"/>
                <w:bCs w:val="0"/>
                <w:caps w:val="0"/>
                <w:noProof/>
                <w:kern w:val="2"/>
                <w:sz w:val="24"/>
                <w:szCs w:val="24"/>
                <w14:ligatures w14:val="standardContextual"/>
              </w:rPr>
              <w:tab/>
            </w:r>
            <w:r w:rsidR="00D2033A" w:rsidRPr="00DE7613">
              <w:rPr>
                <w:rStyle w:val="Hyperlink"/>
                <w:rFonts w:asciiTheme="minorHAnsi" w:hAnsiTheme="minorHAnsi"/>
                <w:noProof/>
              </w:rPr>
              <w:t>Introduction</w:t>
            </w:r>
            <w:r w:rsidR="00D2033A">
              <w:rPr>
                <w:noProof/>
                <w:webHidden/>
              </w:rPr>
              <w:tab/>
            </w:r>
            <w:r w:rsidR="00D2033A">
              <w:rPr>
                <w:noProof/>
                <w:webHidden/>
              </w:rPr>
              <w:fldChar w:fldCharType="begin"/>
            </w:r>
            <w:r w:rsidR="00D2033A">
              <w:rPr>
                <w:noProof/>
                <w:webHidden/>
              </w:rPr>
              <w:instrText xml:space="preserve"> PAGEREF _Toc188252312 \h </w:instrText>
            </w:r>
            <w:r w:rsidR="00D2033A">
              <w:rPr>
                <w:noProof/>
                <w:webHidden/>
              </w:rPr>
            </w:r>
            <w:r w:rsidR="00D2033A">
              <w:rPr>
                <w:noProof/>
                <w:webHidden/>
              </w:rPr>
              <w:fldChar w:fldCharType="separate"/>
            </w:r>
            <w:r w:rsidR="00D27D76">
              <w:rPr>
                <w:noProof/>
                <w:webHidden/>
              </w:rPr>
              <w:t>8</w:t>
            </w:r>
            <w:r w:rsidR="00D2033A">
              <w:rPr>
                <w:noProof/>
                <w:webHidden/>
              </w:rPr>
              <w:fldChar w:fldCharType="end"/>
            </w:r>
          </w:hyperlink>
        </w:p>
        <w:p w14:paraId="3574C832" w14:textId="61D1AE50" w:rsidR="00D2033A" w:rsidRDefault="00D2033A">
          <w:pPr>
            <w:pStyle w:val="TOC2"/>
            <w:tabs>
              <w:tab w:val="right" w:leader="dot" w:pos="9350"/>
            </w:tabs>
            <w:rPr>
              <w:smallCaps w:val="0"/>
              <w:noProof/>
              <w:kern w:val="2"/>
              <w:sz w:val="24"/>
              <w:szCs w:val="24"/>
              <w14:ligatures w14:val="standardContextual"/>
            </w:rPr>
          </w:pPr>
          <w:hyperlink w:anchor="_Toc188252313" w:history="1">
            <w:r w:rsidRPr="00DE7613">
              <w:rPr>
                <w:rStyle w:val="Hyperlink"/>
                <w:rFonts w:asciiTheme="minorHAnsi" w:hAnsiTheme="minorHAnsi"/>
                <w:noProof/>
              </w:rPr>
              <w:t>1.1 Strategy Process</w:t>
            </w:r>
            <w:r>
              <w:rPr>
                <w:noProof/>
                <w:webHidden/>
              </w:rPr>
              <w:tab/>
            </w:r>
            <w:r>
              <w:rPr>
                <w:noProof/>
                <w:webHidden/>
              </w:rPr>
              <w:fldChar w:fldCharType="begin"/>
            </w:r>
            <w:r>
              <w:rPr>
                <w:noProof/>
                <w:webHidden/>
              </w:rPr>
              <w:instrText xml:space="preserve"> PAGEREF _Toc188252313 \h </w:instrText>
            </w:r>
            <w:r>
              <w:rPr>
                <w:noProof/>
                <w:webHidden/>
              </w:rPr>
            </w:r>
            <w:r>
              <w:rPr>
                <w:noProof/>
                <w:webHidden/>
              </w:rPr>
              <w:fldChar w:fldCharType="separate"/>
            </w:r>
            <w:r w:rsidR="00D27D76">
              <w:rPr>
                <w:noProof/>
                <w:webHidden/>
              </w:rPr>
              <w:t>9</w:t>
            </w:r>
            <w:r>
              <w:rPr>
                <w:noProof/>
                <w:webHidden/>
              </w:rPr>
              <w:fldChar w:fldCharType="end"/>
            </w:r>
          </w:hyperlink>
        </w:p>
        <w:p w14:paraId="5C3106F8" w14:textId="0D45A0BE" w:rsidR="00D2033A" w:rsidRDefault="00D2033A">
          <w:pPr>
            <w:pStyle w:val="TOC2"/>
            <w:tabs>
              <w:tab w:val="right" w:leader="dot" w:pos="9350"/>
            </w:tabs>
            <w:rPr>
              <w:smallCaps w:val="0"/>
              <w:noProof/>
              <w:kern w:val="2"/>
              <w:sz w:val="24"/>
              <w:szCs w:val="24"/>
              <w14:ligatures w14:val="standardContextual"/>
            </w:rPr>
          </w:pPr>
          <w:hyperlink w:anchor="_Toc188252314" w:history="1">
            <w:r w:rsidRPr="00DE7613">
              <w:rPr>
                <w:rStyle w:val="Hyperlink"/>
                <w:rFonts w:asciiTheme="minorHAnsi" w:hAnsiTheme="minorHAnsi"/>
                <w:noProof/>
              </w:rPr>
              <w:t>1.2 Strategy Assumptions</w:t>
            </w:r>
            <w:r>
              <w:rPr>
                <w:noProof/>
                <w:webHidden/>
              </w:rPr>
              <w:tab/>
            </w:r>
            <w:r>
              <w:rPr>
                <w:noProof/>
                <w:webHidden/>
              </w:rPr>
              <w:fldChar w:fldCharType="begin"/>
            </w:r>
            <w:r>
              <w:rPr>
                <w:noProof/>
                <w:webHidden/>
              </w:rPr>
              <w:instrText xml:space="preserve"> PAGEREF _Toc188252314 \h </w:instrText>
            </w:r>
            <w:r>
              <w:rPr>
                <w:noProof/>
                <w:webHidden/>
              </w:rPr>
            </w:r>
            <w:r>
              <w:rPr>
                <w:noProof/>
                <w:webHidden/>
              </w:rPr>
              <w:fldChar w:fldCharType="separate"/>
            </w:r>
            <w:r w:rsidR="00D27D76">
              <w:rPr>
                <w:noProof/>
                <w:webHidden/>
              </w:rPr>
              <w:t>10</w:t>
            </w:r>
            <w:r>
              <w:rPr>
                <w:noProof/>
                <w:webHidden/>
              </w:rPr>
              <w:fldChar w:fldCharType="end"/>
            </w:r>
          </w:hyperlink>
        </w:p>
        <w:p w14:paraId="5FE54C02" w14:textId="48C87D5D" w:rsidR="00D2033A" w:rsidRDefault="00D2033A">
          <w:pPr>
            <w:pStyle w:val="TOC1"/>
            <w:tabs>
              <w:tab w:val="right" w:leader="dot" w:pos="9350"/>
            </w:tabs>
            <w:rPr>
              <w:b w:val="0"/>
              <w:bCs w:val="0"/>
              <w:caps w:val="0"/>
              <w:noProof/>
              <w:kern w:val="2"/>
              <w:sz w:val="24"/>
              <w:szCs w:val="24"/>
              <w14:ligatures w14:val="standardContextual"/>
            </w:rPr>
          </w:pPr>
          <w:hyperlink w:anchor="_Toc188252315" w:history="1">
            <w:r w:rsidRPr="00DE7613">
              <w:rPr>
                <w:rStyle w:val="Hyperlink"/>
                <w:rFonts w:asciiTheme="minorHAnsi" w:hAnsiTheme="minorHAnsi"/>
                <w:noProof/>
              </w:rPr>
              <w:t>2.0 Regulatory and Strategy Updates</w:t>
            </w:r>
            <w:r>
              <w:rPr>
                <w:noProof/>
                <w:webHidden/>
              </w:rPr>
              <w:tab/>
            </w:r>
            <w:r>
              <w:rPr>
                <w:noProof/>
                <w:webHidden/>
              </w:rPr>
              <w:fldChar w:fldCharType="begin"/>
            </w:r>
            <w:r>
              <w:rPr>
                <w:noProof/>
                <w:webHidden/>
              </w:rPr>
              <w:instrText xml:space="preserve"> PAGEREF _Toc188252315 \h </w:instrText>
            </w:r>
            <w:r>
              <w:rPr>
                <w:noProof/>
                <w:webHidden/>
              </w:rPr>
            </w:r>
            <w:r>
              <w:rPr>
                <w:noProof/>
                <w:webHidden/>
              </w:rPr>
              <w:fldChar w:fldCharType="separate"/>
            </w:r>
            <w:r w:rsidR="00D27D76">
              <w:rPr>
                <w:noProof/>
                <w:webHidden/>
              </w:rPr>
              <w:t>13</w:t>
            </w:r>
            <w:r>
              <w:rPr>
                <w:noProof/>
                <w:webHidden/>
              </w:rPr>
              <w:fldChar w:fldCharType="end"/>
            </w:r>
          </w:hyperlink>
        </w:p>
        <w:p w14:paraId="7AA1C27D" w14:textId="1BA71F9A" w:rsidR="00D2033A" w:rsidRDefault="00D2033A">
          <w:pPr>
            <w:pStyle w:val="TOC2"/>
            <w:tabs>
              <w:tab w:val="right" w:leader="dot" w:pos="9350"/>
            </w:tabs>
            <w:rPr>
              <w:smallCaps w:val="0"/>
              <w:noProof/>
              <w:kern w:val="2"/>
              <w:sz w:val="24"/>
              <w:szCs w:val="24"/>
              <w14:ligatures w14:val="standardContextual"/>
            </w:rPr>
          </w:pPr>
          <w:hyperlink w:anchor="_Toc188252316" w:history="1">
            <w:r w:rsidRPr="00DE7613">
              <w:rPr>
                <w:rStyle w:val="Hyperlink"/>
                <w:rFonts w:asciiTheme="minorHAnsi" w:hAnsiTheme="minorHAnsi"/>
                <w:noProof/>
              </w:rPr>
              <w:t>2.1 Water Regulatory and Strategy Updates</w:t>
            </w:r>
            <w:r>
              <w:rPr>
                <w:noProof/>
                <w:webHidden/>
              </w:rPr>
              <w:tab/>
            </w:r>
            <w:r>
              <w:rPr>
                <w:noProof/>
                <w:webHidden/>
              </w:rPr>
              <w:fldChar w:fldCharType="begin"/>
            </w:r>
            <w:r>
              <w:rPr>
                <w:noProof/>
                <w:webHidden/>
              </w:rPr>
              <w:instrText xml:space="preserve"> PAGEREF _Toc188252316 \h </w:instrText>
            </w:r>
            <w:r>
              <w:rPr>
                <w:noProof/>
                <w:webHidden/>
              </w:rPr>
            </w:r>
            <w:r>
              <w:rPr>
                <w:noProof/>
                <w:webHidden/>
              </w:rPr>
              <w:fldChar w:fldCharType="separate"/>
            </w:r>
            <w:r w:rsidR="00D27D76">
              <w:rPr>
                <w:noProof/>
                <w:webHidden/>
              </w:rPr>
              <w:t>13</w:t>
            </w:r>
            <w:r>
              <w:rPr>
                <w:noProof/>
                <w:webHidden/>
              </w:rPr>
              <w:fldChar w:fldCharType="end"/>
            </w:r>
          </w:hyperlink>
        </w:p>
        <w:p w14:paraId="2AAF267B" w14:textId="7A2B2EDC" w:rsidR="00D2033A" w:rsidRDefault="00D2033A">
          <w:pPr>
            <w:pStyle w:val="TOC3"/>
            <w:tabs>
              <w:tab w:val="right" w:leader="dot" w:pos="9350"/>
            </w:tabs>
            <w:rPr>
              <w:i w:val="0"/>
              <w:iCs w:val="0"/>
              <w:noProof/>
              <w:kern w:val="2"/>
              <w:sz w:val="24"/>
              <w:szCs w:val="24"/>
              <w14:ligatures w14:val="standardContextual"/>
            </w:rPr>
          </w:pPr>
          <w:hyperlink w:anchor="_Toc188252317" w:history="1">
            <w:r w:rsidRPr="00DE7613">
              <w:rPr>
                <w:rStyle w:val="Hyperlink"/>
                <w:rFonts w:asciiTheme="minorHAnsi" w:hAnsiTheme="minorHAnsi"/>
                <w:noProof/>
              </w:rPr>
              <w:t>2.1.1 Waters of the United States (33 CFR 328 and 40 CFR 120)</w:t>
            </w:r>
            <w:r>
              <w:rPr>
                <w:noProof/>
                <w:webHidden/>
              </w:rPr>
              <w:tab/>
            </w:r>
            <w:r>
              <w:rPr>
                <w:noProof/>
                <w:webHidden/>
              </w:rPr>
              <w:fldChar w:fldCharType="begin"/>
            </w:r>
            <w:r>
              <w:rPr>
                <w:noProof/>
                <w:webHidden/>
              </w:rPr>
              <w:instrText xml:space="preserve"> PAGEREF _Toc188252317 \h </w:instrText>
            </w:r>
            <w:r>
              <w:rPr>
                <w:noProof/>
                <w:webHidden/>
              </w:rPr>
            </w:r>
            <w:r>
              <w:rPr>
                <w:noProof/>
                <w:webHidden/>
              </w:rPr>
              <w:fldChar w:fldCharType="separate"/>
            </w:r>
            <w:r w:rsidR="00D27D76">
              <w:rPr>
                <w:noProof/>
                <w:webHidden/>
              </w:rPr>
              <w:t>15</w:t>
            </w:r>
            <w:r>
              <w:rPr>
                <w:noProof/>
                <w:webHidden/>
              </w:rPr>
              <w:fldChar w:fldCharType="end"/>
            </w:r>
          </w:hyperlink>
        </w:p>
        <w:p w14:paraId="1C63F3E9" w14:textId="294A25FF" w:rsidR="00D2033A" w:rsidRDefault="00D2033A">
          <w:pPr>
            <w:pStyle w:val="TOC3"/>
            <w:tabs>
              <w:tab w:val="right" w:leader="dot" w:pos="9350"/>
            </w:tabs>
            <w:rPr>
              <w:i w:val="0"/>
              <w:iCs w:val="0"/>
              <w:noProof/>
              <w:kern w:val="2"/>
              <w:sz w:val="24"/>
              <w:szCs w:val="24"/>
              <w14:ligatures w14:val="standardContextual"/>
            </w:rPr>
          </w:pPr>
          <w:hyperlink w:anchor="_Toc188252318" w:history="1">
            <w:r w:rsidRPr="00DE7613">
              <w:rPr>
                <w:rStyle w:val="Hyperlink"/>
                <w:rFonts w:asciiTheme="minorHAnsi" w:hAnsiTheme="minorHAnsi"/>
                <w:noProof/>
              </w:rPr>
              <w:t>2.1.2 Cooling Water Intake Structures (40 CFR 122 and 125)</w:t>
            </w:r>
            <w:r>
              <w:rPr>
                <w:noProof/>
                <w:webHidden/>
              </w:rPr>
              <w:tab/>
            </w:r>
            <w:r>
              <w:rPr>
                <w:noProof/>
                <w:webHidden/>
              </w:rPr>
              <w:fldChar w:fldCharType="begin"/>
            </w:r>
            <w:r>
              <w:rPr>
                <w:noProof/>
                <w:webHidden/>
              </w:rPr>
              <w:instrText xml:space="preserve"> PAGEREF _Toc188252318 \h </w:instrText>
            </w:r>
            <w:r>
              <w:rPr>
                <w:noProof/>
                <w:webHidden/>
              </w:rPr>
            </w:r>
            <w:r>
              <w:rPr>
                <w:noProof/>
                <w:webHidden/>
              </w:rPr>
              <w:fldChar w:fldCharType="separate"/>
            </w:r>
            <w:r w:rsidR="00D27D76">
              <w:rPr>
                <w:noProof/>
                <w:webHidden/>
              </w:rPr>
              <w:t>16</w:t>
            </w:r>
            <w:r>
              <w:rPr>
                <w:noProof/>
                <w:webHidden/>
              </w:rPr>
              <w:fldChar w:fldCharType="end"/>
            </w:r>
          </w:hyperlink>
        </w:p>
        <w:p w14:paraId="4190E01A" w14:textId="11D118A5" w:rsidR="00D2033A" w:rsidRDefault="00D2033A">
          <w:pPr>
            <w:pStyle w:val="TOC3"/>
            <w:tabs>
              <w:tab w:val="right" w:leader="dot" w:pos="9350"/>
            </w:tabs>
            <w:rPr>
              <w:i w:val="0"/>
              <w:iCs w:val="0"/>
              <w:noProof/>
              <w:kern w:val="2"/>
              <w:sz w:val="24"/>
              <w:szCs w:val="24"/>
              <w14:ligatures w14:val="standardContextual"/>
            </w:rPr>
          </w:pPr>
          <w:hyperlink w:anchor="_Toc188252319" w:history="1">
            <w:r w:rsidRPr="00DE7613">
              <w:rPr>
                <w:rStyle w:val="Hyperlink"/>
                <w:rFonts w:asciiTheme="minorHAnsi" w:hAnsiTheme="minorHAnsi"/>
                <w:noProof/>
              </w:rPr>
              <w:t>2.1.3 Steam Electric Effluent Limitations Guidelines (40 CFR 423)</w:t>
            </w:r>
            <w:r>
              <w:rPr>
                <w:noProof/>
                <w:webHidden/>
              </w:rPr>
              <w:tab/>
            </w:r>
            <w:r>
              <w:rPr>
                <w:noProof/>
                <w:webHidden/>
              </w:rPr>
              <w:fldChar w:fldCharType="begin"/>
            </w:r>
            <w:r>
              <w:rPr>
                <w:noProof/>
                <w:webHidden/>
              </w:rPr>
              <w:instrText xml:space="preserve"> PAGEREF _Toc188252319 \h </w:instrText>
            </w:r>
            <w:r>
              <w:rPr>
                <w:noProof/>
                <w:webHidden/>
              </w:rPr>
            </w:r>
            <w:r>
              <w:rPr>
                <w:noProof/>
                <w:webHidden/>
              </w:rPr>
              <w:fldChar w:fldCharType="separate"/>
            </w:r>
            <w:r w:rsidR="00D27D76">
              <w:rPr>
                <w:noProof/>
                <w:webHidden/>
              </w:rPr>
              <w:t>16</w:t>
            </w:r>
            <w:r>
              <w:rPr>
                <w:noProof/>
                <w:webHidden/>
              </w:rPr>
              <w:fldChar w:fldCharType="end"/>
            </w:r>
          </w:hyperlink>
        </w:p>
        <w:p w14:paraId="6DF21099" w14:textId="0DEFFF57" w:rsidR="00D2033A" w:rsidRDefault="00D2033A">
          <w:pPr>
            <w:pStyle w:val="TOC2"/>
            <w:tabs>
              <w:tab w:val="right" w:leader="dot" w:pos="9350"/>
            </w:tabs>
            <w:rPr>
              <w:smallCaps w:val="0"/>
              <w:noProof/>
              <w:kern w:val="2"/>
              <w:sz w:val="24"/>
              <w:szCs w:val="24"/>
              <w14:ligatures w14:val="standardContextual"/>
            </w:rPr>
          </w:pPr>
          <w:hyperlink w:anchor="_Toc188252320" w:history="1">
            <w:r w:rsidRPr="00DE7613">
              <w:rPr>
                <w:rStyle w:val="Hyperlink"/>
                <w:rFonts w:asciiTheme="minorHAnsi" w:hAnsiTheme="minorHAnsi"/>
                <w:noProof/>
              </w:rPr>
              <w:t>2.2 Coal Combustion Residuals Regulatory and Strategy Updates</w:t>
            </w:r>
            <w:r>
              <w:rPr>
                <w:noProof/>
                <w:webHidden/>
              </w:rPr>
              <w:tab/>
            </w:r>
            <w:r>
              <w:rPr>
                <w:noProof/>
                <w:webHidden/>
              </w:rPr>
              <w:fldChar w:fldCharType="begin"/>
            </w:r>
            <w:r>
              <w:rPr>
                <w:noProof/>
                <w:webHidden/>
              </w:rPr>
              <w:instrText xml:space="preserve"> PAGEREF _Toc188252320 \h </w:instrText>
            </w:r>
            <w:r>
              <w:rPr>
                <w:noProof/>
                <w:webHidden/>
              </w:rPr>
            </w:r>
            <w:r>
              <w:rPr>
                <w:noProof/>
                <w:webHidden/>
              </w:rPr>
              <w:fldChar w:fldCharType="separate"/>
            </w:r>
            <w:r w:rsidR="00D27D76">
              <w:rPr>
                <w:noProof/>
                <w:webHidden/>
              </w:rPr>
              <w:t>21</w:t>
            </w:r>
            <w:r>
              <w:rPr>
                <w:noProof/>
                <w:webHidden/>
              </w:rPr>
              <w:fldChar w:fldCharType="end"/>
            </w:r>
          </w:hyperlink>
        </w:p>
        <w:p w14:paraId="7A739E89" w14:textId="26E204CE" w:rsidR="00D2033A" w:rsidRDefault="00D2033A">
          <w:pPr>
            <w:pStyle w:val="TOC3"/>
            <w:tabs>
              <w:tab w:val="left" w:pos="1320"/>
              <w:tab w:val="right" w:leader="dot" w:pos="9350"/>
            </w:tabs>
            <w:rPr>
              <w:i w:val="0"/>
              <w:iCs w:val="0"/>
              <w:noProof/>
              <w:kern w:val="2"/>
              <w:sz w:val="24"/>
              <w:szCs w:val="24"/>
              <w14:ligatures w14:val="standardContextual"/>
            </w:rPr>
          </w:pPr>
          <w:hyperlink w:anchor="_Toc188252321" w:history="1">
            <w:r w:rsidRPr="00DE7613">
              <w:rPr>
                <w:rStyle w:val="Hyperlink"/>
                <w:rFonts w:asciiTheme="minorHAnsi" w:hAnsiTheme="minorHAnsi"/>
                <w:noProof/>
              </w:rPr>
              <w:t>2.2.1</w:t>
            </w:r>
            <w:r>
              <w:rPr>
                <w:i w:val="0"/>
                <w:iCs w:val="0"/>
                <w:noProof/>
                <w:kern w:val="2"/>
                <w:sz w:val="24"/>
                <w:szCs w:val="24"/>
                <w14:ligatures w14:val="standardContextual"/>
              </w:rPr>
              <w:tab/>
            </w:r>
            <w:r w:rsidRPr="00DE7613">
              <w:rPr>
                <w:rStyle w:val="Hyperlink"/>
                <w:rFonts w:asciiTheme="minorHAnsi" w:hAnsiTheme="minorHAnsi"/>
                <w:noProof/>
              </w:rPr>
              <w:t>Federal CCR Rule Revisions (40 CFR 257)</w:t>
            </w:r>
            <w:r>
              <w:rPr>
                <w:noProof/>
                <w:webHidden/>
              </w:rPr>
              <w:tab/>
            </w:r>
            <w:r>
              <w:rPr>
                <w:noProof/>
                <w:webHidden/>
              </w:rPr>
              <w:fldChar w:fldCharType="begin"/>
            </w:r>
            <w:r>
              <w:rPr>
                <w:noProof/>
                <w:webHidden/>
              </w:rPr>
              <w:instrText xml:space="preserve"> PAGEREF _Toc188252321 \h </w:instrText>
            </w:r>
            <w:r>
              <w:rPr>
                <w:noProof/>
                <w:webHidden/>
              </w:rPr>
            </w:r>
            <w:r>
              <w:rPr>
                <w:noProof/>
                <w:webHidden/>
              </w:rPr>
              <w:fldChar w:fldCharType="separate"/>
            </w:r>
            <w:r w:rsidR="00D27D76">
              <w:rPr>
                <w:noProof/>
                <w:webHidden/>
              </w:rPr>
              <w:t>22</w:t>
            </w:r>
            <w:r>
              <w:rPr>
                <w:noProof/>
                <w:webHidden/>
              </w:rPr>
              <w:fldChar w:fldCharType="end"/>
            </w:r>
          </w:hyperlink>
        </w:p>
        <w:p w14:paraId="4095EFC5" w14:textId="5865E0E5" w:rsidR="00D2033A" w:rsidRDefault="00D2033A">
          <w:pPr>
            <w:pStyle w:val="TOC2"/>
            <w:tabs>
              <w:tab w:val="right" w:leader="dot" w:pos="9350"/>
            </w:tabs>
            <w:rPr>
              <w:smallCaps w:val="0"/>
              <w:noProof/>
              <w:kern w:val="2"/>
              <w:sz w:val="24"/>
              <w:szCs w:val="24"/>
              <w14:ligatures w14:val="standardContextual"/>
            </w:rPr>
          </w:pPr>
          <w:hyperlink w:anchor="_Toc188252322" w:history="1">
            <w:r w:rsidRPr="00DE7613">
              <w:rPr>
                <w:rStyle w:val="Hyperlink"/>
                <w:rFonts w:asciiTheme="minorHAnsi" w:hAnsiTheme="minorHAnsi"/>
                <w:noProof/>
              </w:rPr>
              <w:t>2.3 Air Regulatory and Strategy Updates</w:t>
            </w:r>
            <w:r>
              <w:rPr>
                <w:noProof/>
                <w:webHidden/>
              </w:rPr>
              <w:tab/>
            </w:r>
            <w:r>
              <w:rPr>
                <w:noProof/>
                <w:webHidden/>
              </w:rPr>
              <w:fldChar w:fldCharType="begin"/>
            </w:r>
            <w:r>
              <w:rPr>
                <w:noProof/>
                <w:webHidden/>
              </w:rPr>
              <w:instrText xml:space="preserve"> PAGEREF _Toc188252322 \h </w:instrText>
            </w:r>
            <w:r>
              <w:rPr>
                <w:noProof/>
                <w:webHidden/>
              </w:rPr>
            </w:r>
            <w:r>
              <w:rPr>
                <w:noProof/>
                <w:webHidden/>
              </w:rPr>
              <w:fldChar w:fldCharType="separate"/>
            </w:r>
            <w:r w:rsidR="00D27D76">
              <w:rPr>
                <w:noProof/>
                <w:webHidden/>
              </w:rPr>
              <w:t>36</w:t>
            </w:r>
            <w:r>
              <w:rPr>
                <w:noProof/>
                <w:webHidden/>
              </w:rPr>
              <w:fldChar w:fldCharType="end"/>
            </w:r>
          </w:hyperlink>
        </w:p>
        <w:p w14:paraId="531C3819" w14:textId="3D686297" w:rsidR="00D2033A" w:rsidRDefault="00D2033A">
          <w:pPr>
            <w:pStyle w:val="TOC3"/>
            <w:tabs>
              <w:tab w:val="right" w:leader="dot" w:pos="9350"/>
            </w:tabs>
            <w:rPr>
              <w:i w:val="0"/>
              <w:iCs w:val="0"/>
              <w:noProof/>
              <w:kern w:val="2"/>
              <w:sz w:val="24"/>
              <w:szCs w:val="24"/>
              <w14:ligatures w14:val="standardContextual"/>
            </w:rPr>
          </w:pPr>
          <w:hyperlink w:anchor="_Toc188252323" w:history="1">
            <w:r w:rsidRPr="00DE7613">
              <w:rPr>
                <w:rStyle w:val="Hyperlink"/>
                <w:rFonts w:asciiTheme="minorHAnsi" w:hAnsiTheme="minorHAnsi"/>
                <w:noProof/>
              </w:rPr>
              <w:t>2.3.1 National Ambient Air Quality Standards and Georgia Regulations</w:t>
            </w:r>
            <w:r>
              <w:rPr>
                <w:noProof/>
                <w:webHidden/>
              </w:rPr>
              <w:tab/>
            </w:r>
            <w:r>
              <w:rPr>
                <w:noProof/>
                <w:webHidden/>
              </w:rPr>
              <w:fldChar w:fldCharType="begin"/>
            </w:r>
            <w:r>
              <w:rPr>
                <w:noProof/>
                <w:webHidden/>
              </w:rPr>
              <w:instrText xml:space="preserve"> PAGEREF _Toc188252323 \h </w:instrText>
            </w:r>
            <w:r>
              <w:rPr>
                <w:noProof/>
                <w:webHidden/>
              </w:rPr>
            </w:r>
            <w:r>
              <w:rPr>
                <w:noProof/>
                <w:webHidden/>
              </w:rPr>
              <w:fldChar w:fldCharType="separate"/>
            </w:r>
            <w:r w:rsidR="00D27D76">
              <w:rPr>
                <w:noProof/>
                <w:webHidden/>
              </w:rPr>
              <w:t>37</w:t>
            </w:r>
            <w:r>
              <w:rPr>
                <w:noProof/>
                <w:webHidden/>
              </w:rPr>
              <w:fldChar w:fldCharType="end"/>
            </w:r>
          </w:hyperlink>
        </w:p>
        <w:p w14:paraId="7CA1079F" w14:textId="64C519FD" w:rsidR="00D2033A" w:rsidRDefault="00D2033A">
          <w:pPr>
            <w:pStyle w:val="TOC3"/>
            <w:tabs>
              <w:tab w:val="right" w:leader="dot" w:pos="9350"/>
            </w:tabs>
            <w:rPr>
              <w:i w:val="0"/>
              <w:iCs w:val="0"/>
              <w:noProof/>
              <w:kern w:val="2"/>
              <w:sz w:val="24"/>
              <w:szCs w:val="24"/>
              <w14:ligatures w14:val="standardContextual"/>
            </w:rPr>
          </w:pPr>
          <w:hyperlink w:anchor="_Toc188252324" w:history="1">
            <w:r w:rsidRPr="00DE7613">
              <w:rPr>
                <w:rStyle w:val="Hyperlink"/>
                <w:rFonts w:asciiTheme="minorHAnsi" w:hAnsiTheme="minorHAnsi"/>
                <w:noProof/>
              </w:rPr>
              <w:t>2.3.2 SO</w:t>
            </w:r>
            <w:r w:rsidRPr="00DE7613">
              <w:rPr>
                <w:rStyle w:val="Hyperlink"/>
                <w:rFonts w:asciiTheme="minorHAnsi" w:hAnsiTheme="minorHAnsi"/>
                <w:noProof/>
                <w:vertAlign w:val="subscript"/>
              </w:rPr>
              <w:t>2</w:t>
            </w:r>
            <w:r w:rsidRPr="00DE7613">
              <w:rPr>
                <w:rStyle w:val="Hyperlink"/>
                <w:rFonts w:asciiTheme="minorHAnsi" w:hAnsiTheme="minorHAnsi"/>
                <w:noProof/>
              </w:rPr>
              <w:t xml:space="preserve"> and NOx Emissions Allowance Programs</w:t>
            </w:r>
            <w:r>
              <w:rPr>
                <w:noProof/>
                <w:webHidden/>
              </w:rPr>
              <w:tab/>
            </w:r>
            <w:r>
              <w:rPr>
                <w:noProof/>
                <w:webHidden/>
              </w:rPr>
              <w:fldChar w:fldCharType="begin"/>
            </w:r>
            <w:r>
              <w:rPr>
                <w:noProof/>
                <w:webHidden/>
              </w:rPr>
              <w:instrText xml:space="preserve"> PAGEREF _Toc188252324 \h </w:instrText>
            </w:r>
            <w:r>
              <w:rPr>
                <w:noProof/>
                <w:webHidden/>
              </w:rPr>
            </w:r>
            <w:r>
              <w:rPr>
                <w:noProof/>
                <w:webHidden/>
              </w:rPr>
              <w:fldChar w:fldCharType="separate"/>
            </w:r>
            <w:r w:rsidR="00D27D76">
              <w:rPr>
                <w:noProof/>
                <w:webHidden/>
              </w:rPr>
              <w:t>40</w:t>
            </w:r>
            <w:r>
              <w:rPr>
                <w:noProof/>
                <w:webHidden/>
              </w:rPr>
              <w:fldChar w:fldCharType="end"/>
            </w:r>
          </w:hyperlink>
        </w:p>
        <w:p w14:paraId="48AE5838" w14:textId="46FA0230" w:rsidR="00D2033A" w:rsidRDefault="00D2033A">
          <w:pPr>
            <w:pStyle w:val="TOC3"/>
            <w:tabs>
              <w:tab w:val="right" w:leader="dot" w:pos="9350"/>
            </w:tabs>
            <w:rPr>
              <w:i w:val="0"/>
              <w:iCs w:val="0"/>
              <w:noProof/>
              <w:kern w:val="2"/>
              <w:sz w:val="24"/>
              <w:szCs w:val="24"/>
              <w14:ligatures w14:val="standardContextual"/>
            </w:rPr>
          </w:pPr>
          <w:hyperlink w:anchor="_Toc188252325" w:history="1">
            <w:r w:rsidRPr="00DE7613">
              <w:rPr>
                <w:rStyle w:val="Hyperlink"/>
                <w:rFonts w:asciiTheme="minorHAnsi" w:hAnsiTheme="minorHAnsi"/>
                <w:noProof/>
              </w:rPr>
              <w:t>2.3.3 Maximum Achievable Control Technology Regulations</w:t>
            </w:r>
            <w:r>
              <w:rPr>
                <w:noProof/>
                <w:webHidden/>
              </w:rPr>
              <w:tab/>
            </w:r>
            <w:r>
              <w:rPr>
                <w:noProof/>
                <w:webHidden/>
              </w:rPr>
              <w:fldChar w:fldCharType="begin"/>
            </w:r>
            <w:r>
              <w:rPr>
                <w:noProof/>
                <w:webHidden/>
              </w:rPr>
              <w:instrText xml:space="preserve"> PAGEREF _Toc188252325 \h </w:instrText>
            </w:r>
            <w:r>
              <w:rPr>
                <w:noProof/>
                <w:webHidden/>
              </w:rPr>
            </w:r>
            <w:r>
              <w:rPr>
                <w:noProof/>
                <w:webHidden/>
              </w:rPr>
              <w:fldChar w:fldCharType="separate"/>
            </w:r>
            <w:r w:rsidR="00D27D76">
              <w:rPr>
                <w:noProof/>
                <w:webHidden/>
              </w:rPr>
              <w:t>43</w:t>
            </w:r>
            <w:r>
              <w:rPr>
                <w:noProof/>
                <w:webHidden/>
              </w:rPr>
              <w:fldChar w:fldCharType="end"/>
            </w:r>
          </w:hyperlink>
        </w:p>
        <w:p w14:paraId="637B471D" w14:textId="051A5D3A" w:rsidR="00D2033A" w:rsidRDefault="00D2033A">
          <w:pPr>
            <w:pStyle w:val="TOC3"/>
            <w:tabs>
              <w:tab w:val="right" w:leader="dot" w:pos="9350"/>
            </w:tabs>
            <w:rPr>
              <w:i w:val="0"/>
              <w:iCs w:val="0"/>
              <w:noProof/>
              <w:kern w:val="2"/>
              <w:sz w:val="24"/>
              <w:szCs w:val="24"/>
              <w14:ligatures w14:val="standardContextual"/>
            </w:rPr>
          </w:pPr>
          <w:hyperlink w:anchor="_Toc188252326" w:history="1">
            <w:r w:rsidRPr="00DE7613">
              <w:rPr>
                <w:rStyle w:val="Hyperlink"/>
                <w:rFonts w:asciiTheme="minorHAnsi" w:hAnsiTheme="minorHAnsi"/>
                <w:noProof/>
              </w:rPr>
              <w:t>2.3.4 Regional Haze Regulations (40 CFR 51.308)</w:t>
            </w:r>
            <w:r>
              <w:rPr>
                <w:noProof/>
                <w:webHidden/>
              </w:rPr>
              <w:tab/>
            </w:r>
            <w:r>
              <w:rPr>
                <w:noProof/>
                <w:webHidden/>
              </w:rPr>
              <w:fldChar w:fldCharType="begin"/>
            </w:r>
            <w:r>
              <w:rPr>
                <w:noProof/>
                <w:webHidden/>
              </w:rPr>
              <w:instrText xml:space="preserve"> PAGEREF _Toc188252326 \h </w:instrText>
            </w:r>
            <w:r>
              <w:rPr>
                <w:noProof/>
                <w:webHidden/>
              </w:rPr>
            </w:r>
            <w:r>
              <w:rPr>
                <w:noProof/>
                <w:webHidden/>
              </w:rPr>
              <w:fldChar w:fldCharType="separate"/>
            </w:r>
            <w:r w:rsidR="00D27D76">
              <w:rPr>
                <w:noProof/>
                <w:webHidden/>
              </w:rPr>
              <w:t>47</w:t>
            </w:r>
            <w:r>
              <w:rPr>
                <w:noProof/>
                <w:webHidden/>
              </w:rPr>
              <w:fldChar w:fldCharType="end"/>
            </w:r>
          </w:hyperlink>
        </w:p>
        <w:p w14:paraId="0B641D86" w14:textId="040839B3" w:rsidR="00D2033A" w:rsidRDefault="00D2033A">
          <w:pPr>
            <w:pStyle w:val="TOC3"/>
            <w:tabs>
              <w:tab w:val="right" w:leader="dot" w:pos="9350"/>
            </w:tabs>
            <w:rPr>
              <w:i w:val="0"/>
              <w:iCs w:val="0"/>
              <w:noProof/>
              <w:kern w:val="2"/>
              <w:sz w:val="24"/>
              <w:szCs w:val="24"/>
              <w14:ligatures w14:val="standardContextual"/>
            </w:rPr>
          </w:pPr>
          <w:hyperlink w:anchor="_Toc188252327" w:history="1">
            <w:r w:rsidRPr="00DE7613">
              <w:rPr>
                <w:rStyle w:val="Hyperlink"/>
                <w:rFonts w:asciiTheme="minorHAnsi" w:hAnsiTheme="minorHAnsi"/>
                <w:noProof/>
              </w:rPr>
              <w:t>2.3.5 New Source Review and Other Air Permitting Regulations</w:t>
            </w:r>
            <w:r>
              <w:rPr>
                <w:noProof/>
                <w:webHidden/>
              </w:rPr>
              <w:tab/>
            </w:r>
            <w:r>
              <w:rPr>
                <w:noProof/>
                <w:webHidden/>
              </w:rPr>
              <w:fldChar w:fldCharType="begin"/>
            </w:r>
            <w:r>
              <w:rPr>
                <w:noProof/>
                <w:webHidden/>
              </w:rPr>
              <w:instrText xml:space="preserve"> PAGEREF _Toc188252327 \h </w:instrText>
            </w:r>
            <w:r>
              <w:rPr>
                <w:noProof/>
                <w:webHidden/>
              </w:rPr>
            </w:r>
            <w:r>
              <w:rPr>
                <w:noProof/>
                <w:webHidden/>
              </w:rPr>
              <w:fldChar w:fldCharType="separate"/>
            </w:r>
            <w:r w:rsidR="00D27D76">
              <w:rPr>
                <w:noProof/>
                <w:webHidden/>
              </w:rPr>
              <w:t>48</w:t>
            </w:r>
            <w:r>
              <w:rPr>
                <w:noProof/>
                <w:webHidden/>
              </w:rPr>
              <w:fldChar w:fldCharType="end"/>
            </w:r>
          </w:hyperlink>
        </w:p>
        <w:p w14:paraId="1ACD4612" w14:textId="25025190" w:rsidR="00D2033A" w:rsidRDefault="00D2033A">
          <w:pPr>
            <w:pStyle w:val="TOC3"/>
            <w:tabs>
              <w:tab w:val="right" w:leader="dot" w:pos="9350"/>
            </w:tabs>
            <w:rPr>
              <w:i w:val="0"/>
              <w:iCs w:val="0"/>
              <w:noProof/>
              <w:kern w:val="2"/>
              <w:sz w:val="24"/>
              <w:szCs w:val="24"/>
              <w14:ligatures w14:val="standardContextual"/>
            </w:rPr>
          </w:pPr>
          <w:hyperlink w:anchor="_Toc188252328" w:history="1">
            <w:r w:rsidRPr="00DE7613">
              <w:rPr>
                <w:rStyle w:val="Hyperlink"/>
                <w:rFonts w:asciiTheme="minorHAnsi" w:hAnsiTheme="minorHAnsi"/>
                <w:noProof/>
              </w:rPr>
              <w:t>2.3.6 Greenhouse Gas Emissions and Climate Policy</w:t>
            </w:r>
            <w:r>
              <w:rPr>
                <w:noProof/>
                <w:webHidden/>
              </w:rPr>
              <w:tab/>
            </w:r>
            <w:r>
              <w:rPr>
                <w:noProof/>
                <w:webHidden/>
              </w:rPr>
              <w:fldChar w:fldCharType="begin"/>
            </w:r>
            <w:r>
              <w:rPr>
                <w:noProof/>
                <w:webHidden/>
              </w:rPr>
              <w:instrText xml:space="preserve"> PAGEREF _Toc188252328 \h </w:instrText>
            </w:r>
            <w:r>
              <w:rPr>
                <w:noProof/>
                <w:webHidden/>
              </w:rPr>
            </w:r>
            <w:r>
              <w:rPr>
                <w:noProof/>
                <w:webHidden/>
              </w:rPr>
              <w:fldChar w:fldCharType="separate"/>
            </w:r>
            <w:r w:rsidR="00D27D76">
              <w:rPr>
                <w:noProof/>
                <w:webHidden/>
              </w:rPr>
              <w:t>50</w:t>
            </w:r>
            <w:r>
              <w:rPr>
                <w:noProof/>
                <w:webHidden/>
              </w:rPr>
              <w:fldChar w:fldCharType="end"/>
            </w:r>
          </w:hyperlink>
        </w:p>
        <w:p w14:paraId="5005D058" w14:textId="43F65D5F" w:rsidR="00D2033A" w:rsidRDefault="00D2033A">
          <w:pPr>
            <w:pStyle w:val="TOC1"/>
            <w:tabs>
              <w:tab w:val="right" w:leader="dot" w:pos="9350"/>
            </w:tabs>
            <w:rPr>
              <w:b w:val="0"/>
              <w:bCs w:val="0"/>
              <w:caps w:val="0"/>
              <w:noProof/>
              <w:kern w:val="2"/>
              <w:sz w:val="24"/>
              <w:szCs w:val="24"/>
              <w14:ligatures w14:val="standardContextual"/>
            </w:rPr>
          </w:pPr>
          <w:hyperlink w:anchor="_Toc188252329" w:history="1">
            <w:r w:rsidRPr="00DE7613">
              <w:rPr>
                <w:rStyle w:val="Hyperlink"/>
                <w:rFonts w:asciiTheme="minorHAnsi" w:hAnsiTheme="minorHAnsi"/>
                <w:noProof/>
              </w:rPr>
              <w:t>3.0 Financial Summary</w:t>
            </w:r>
            <w:r>
              <w:rPr>
                <w:noProof/>
                <w:webHidden/>
              </w:rPr>
              <w:tab/>
            </w:r>
            <w:r>
              <w:rPr>
                <w:noProof/>
                <w:webHidden/>
              </w:rPr>
              <w:fldChar w:fldCharType="begin"/>
            </w:r>
            <w:r>
              <w:rPr>
                <w:noProof/>
                <w:webHidden/>
              </w:rPr>
              <w:instrText xml:space="preserve"> PAGEREF _Toc188252329 \h </w:instrText>
            </w:r>
            <w:r>
              <w:rPr>
                <w:noProof/>
                <w:webHidden/>
              </w:rPr>
            </w:r>
            <w:r>
              <w:rPr>
                <w:noProof/>
                <w:webHidden/>
              </w:rPr>
              <w:fldChar w:fldCharType="separate"/>
            </w:r>
            <w:r w:rsidR="00D27D76">
              <w:rPr>
                <w:noProof/>
                <w:webHidden/>
              </w:rPr>
              <w:t>55</w:t>
            </w:r>
            <w:r>
              <w:rPr>
                <w:noProof/>
                <w:webHidden/>
              </w:rPr>
              <w:fldChar w:fldCharType="end"/>
            </w:r>
          </w:hyperlink>
        </w:p>
        <w:p w14:paraId="0A169577" w14:textId="2ED494EA" w:rsidR="00D2033A" w:rsidRDefault="00D2033A">
          <w:pPr>
            <w:pStyle w:val="TOC1"/>
            <w:tabs>
              <w:tab w:val="right" w:leader="dot" w:pos="9350"/>
            </w:tabs>
            <w:rPr>
              <w:b w:val="0"/>
              <w:bCs w:val="0"/>
              <w:caps w:val="0"/>
              <w:noProof/>
              <w:kern w:val="2"/>
              <w:sz w:val="24"/>
              <w:szCs w:val="24"/>
              <w14:ligatures w14:val="standardContextual"/>
            </w:rPr>
          </w:pPr>
          <w:hyperlink w:anchor="_Toc188252330" w:history="1">
            <w:r w:rsidRPr="00DE7613">
              <w:rPr>
                <w:rStyle w:val="Hyperlink"/>
                <w:rFonts w:asciiTheme="minorHAnsi" w:hAnsiTheme="minorHAnsi"/>
                <w:noProof/>
              </w:rPr>
              <w:t>ECS - Appendix A – Monitored Regulations</w:t>
            </w:r>
            <w:r>
              <w:rPr>
                <w:noProof/>
                <w:webHidden/>
              </w:rPr>
              <w:tab/>
            </w:r>
            <w:r>
              <w:rPr>
                <w:noProof/>
                <w:webHidden/>
              </w:rPr>
              <w:fldChar w:fldCharType="begin"/>
            </w:r>
            <w:r>
              <w:rPr>
                <w:noProof/>
                <w:webHidden/>
              </w:rPr>
              <w:instrText xml:space="preserve"> PAGEREF _Toc188252330 \h </w:instrText>
            </w:r>
            <w:r>
              <w:rPr>
                <w:noProof/>
                <w:webHidden/>
              </w:rPr>
            </w:r>
            <w:r>
              <w:rPr>
                <w:noProof/>
                <w:webHidden/>
              </w:rPr>
              <w:fldChar w:fldCharType="separate"/>
            </w:r>
            <w:r w:rsidR="00D27D76">
              <w:rPr>
                <w:noProof/>
                <w:webHidden/>
              </w:rPr>
              <w:t>57</w:t>
            </w:r>
            <w:r>
              <w:rPr>
                <w:noProof/>
                <w:webHidden/>
              </w:rPr>
              <w:fldChar w:fldCharType="end"/>
            </w:r>
          </w:hyperlink>
        </w:p>
        <w:p w14:paraId="1F70B360" w14:textId="7B6CCA18" w:rsidR="00D2033A" w:rsidRDefault="00D2033A">
          <w:pPr>
            <w:pStyle w:val="TOC1"/>
            <w:tabs>
              <w:tab w:val="right" w:leader="dot" w:pos="9350"/>
            </w:tabs>
            <w:rPr>
              <w:b w:val="0"/>
              <w:bCs w:val="0"/>
              <w:caps w:val="0"/>
              <w:noProof/>
              <w:kern w:val="2"/>
              <w:sz w:val="24"/>
              <w:szCs w:val="24"/>
              <w14:ligatures w14:val="standardContextual"/>
            </w:rPr>
          </w:pPr>
          <w:hyperlink w:anchor="_Toc188252331" w:history="1">
            <w:r w:rsidRPr="00DE7613">
              <w:rPr>
                <w:rStyle w:val="Hyperlink"/>
                <w:rFonts w:asciiTheme="minorHAnsi" w:hAnsiTheme="minorHAnsi"/>
                <w:noProof/>
              </w:rPr>
              <w:t>ECS - Appendix B – Acronyms/Abbreviations</w:t>
            </w:r>
            <w:r>
              <w:rPr>
                <w:noProof/>
                <w:webHidden/>
              </w:rPr>
              <w:tab/>
            </w:r>
            <w:r>
              <w:rPr>
                <w:noProof/>
                <w:webHidden/>
              </w:rPr>
              <w:fldChar w:fldCharType="begin"/>
            </w:r>
            <w:r>
              <w:rPr>
                <w:noProof/>
                <w:webHidden/>
              </w:rPr>
              <w:instrText xml:space="preserve"> PAGEREF _Toc188252331 \h </w:instrText>
            </w:r>
            <w:r>
              <w:rPr>
                <w:noProof/>
                <w:webHidden/>
              </w:rPr>
            </w:r>
            <w:r>
              <w:rPr>
                <w:noProof/>
                <w:webHidden/>
              </w:rPr>
              <w:fldChar w:fldCharType="separate"/>
            </w:r>
            <w:r w:rsidR="00D27D76">
              <w:rPr>
                <w:noProof/>
                <w:webHidden/>
              </w:rPr>
              <w:t>61</w:t>
            </w:r>
            <w:r>
              <w:rPr>
                <w:noProof/>
                <w:webHidden/>
              </w:rPr>
              <w:fldChar w:fldCharType="end"/>
            </w:r>
          </w:hyperlink>
        </w:p>
        <w:p w14:paraId="419E25BE" w14:textId="14AB56C0" w:rsidR="00D2033A" w:rsidRDefault="00D2033A">
          <w:pPr>
            <w:pStyle w:val="TOC1"/>
            <w:tabs>
              <w:tab w:val="right" w:leader="dot" w:pos="9350"/>
            </w:tabs>
            <w:rPr>
              <w:b w:val="0"/>
              <w:bCs w:val="0"/>
              <w:caps w:val="0"/>
              <w:noProof/>
              <w:kern w:val="2"/>
              <w:sz w:val="24"/>
              <w:szCs w:val="24"/>
              <w14:ligatures w14:val="standardContextual"/>
            </w:rPr>
          </w:pPr>
          <w:hyperlink w:anchor="_Toc188252332" w:history="1">
            <w:r w:rsidRPr="00DE7613">
              <w:rPr>
                <w:rStyle w:val="Hyperlink"/>
                <w:rFonts w:asciiTheme="minorHAnsi" w:hAnsiTheme="minorHAnsi"/>
                <w:noProof/>
              </w:rPr>
              <w:t>ECS - Appendix C – R&amp;D and Environmental Control Alternatives</w:t>
            </w:r>
            <w:r>
              <w:rPr>
                <w:noProof/>
                <w:webHidden/>
              </w:rPr>
              <w:tab/>
            </w:r>
            <w:r>
              <w:rPr>
                <w:noProof/>
                <w:webHidden/>
              </w:rPr>
              <w:fldChar w:fldCharType="begin"/>
            </w:r>
            <w:r>
              <w:rPr>
                <w:noProof/>
                <w:webHidden/>
              </w:rPr>
              <w:instrText xml:space="preserve"> PAGEREF _Toc188252332 \h </w:instrText>
            </w:r>
            <w:r>
              <w:rPr>
                <w:noProof/>
                <w:webHidden/>
              </w:rPr>
            </w:r>
            <w:r>
              <w:rPr>
                <w:noProof/>
                <w:webHidden/>
              </w:rPr>
              <w:fldChar w:fldCharType="separate"/>
            </w:r>
            <w:r w:rsidR="00D27D76">
              <w:rPr>
                <w:noProof/>
                <w:webHidden/>
              </w:rPr>
              <w:t>66</w:t>
            </w:r>
            <w:r>
              <w:rPr>
                <w:noProof/>
                <w:webHidden/>
              </w:rPr>
              <w:fldChar w:fldCharType="end"/>
            </w:r>
          </w:hyperlink>
        </w:p>
        <w:p w14:paraId="6B1AC8E1" w14:textId="3C3DB3FE" w:rsidR="00D2033A" w:rsidRDefault="00D2033A">
          <w:pPr>
            <w:pStyle w:val="TOC1"/>
            <w:tabs>
              <w:tab w:val="right" w:leader="dot" w:pos="9350"/>
            </w:tabs>
            <w:rPr>
              <w:b w:val="0"/>
              <w:bCs w:val="0"/>
              <w:caps w:val="0"/>
              <w:noProof/>
              <w:kern w:val="2"/>
              <w:sz w:val="24"/>
              <w:szCs w:val="24"/>
              <w14:ligatures w14:val="standardContextual"/>
            </w:rPr>
          </w:pPr>
          <w:hyperlink w:anchor="_Toc188252333" w:history="1">
            <w:r w:rsidRPr="00DE7613">
              <w:rPr>
                <w:rStyle w:val="Hyperlink"/>
                <w:rFonts w:asciiTheme="minorHAnsi" w:hAnsiTheme="minorHAnsi"/>
                <w:noProof/>
              </w:rPr>
              <w:t>ECS – Appendix D - Environmental Control Alternatives Index</w:t>
            </w:r>
            <w:r>
              <w:rPr>
                <w:noProof/>
                <w:webHidden/>
              </w:rPr>
              <w:tab/>
            </w:r>
            <w:r>
              <w:rPr>
                <w:noProof/>
                <w:webHidden/>
              </w:rPr>
              <w:fldChar w:fldCharType="begin"/>
            </w:r>
            <w:r>
              <w:rPr>
                <w:noProof/>
                <w:webHidden/>
              </w:rPr>
              <w:instrText xml:space="preserve"> PAGEREF _Toc188252333 \h </w:instrText>
            </w:r>
            <w:r>
              <w:rPr>
                <w:noProof/>
                <w:webHidden/>
              </w:rPr>
            </w:r>
            <w:r>
              <w:rPr>
                <w:noProof/>
                <w:webHidden/>
              </w:rPr>
              <w:fldChar w:fldCharType="separate"/>
            </w:r>
            <w:r w:rsidR="00D27D76">
              <w:rPr>
                <w:noProof/>
                <w:webHidden/>
              </w:rPr>
              <w:t>69</w:t>
            </w:r>
            <w:r>
              <w:rPr>
                <w:noProof/>
                <w:webHidden/>
              </w:rPr>
              <w:fldChar w:fldCharType="end"/>
            </w:r>
          </w:hyperlink>
        </w:p>
        <w:p w14:paraId="7D995E4A" w14:textId="665A4AB2" w:rsidR="00D2033A" w:rsidRDefault="00D2033A">
          <w:pPr>
            <w:pStyle w:val="TOC1"/>
            <w:tabs>
              <w:tab w:val="right" w:leader="dot" w:pos="9350"/>
            </w:tabs>
            <w:rPr>
              <w:b w:val="0"/>
              <w:bCs w:val="0"/>
              <w:caps w:val="0"/>
              <w:noProof/>
              <w:kern w:val="2"/>
              <w:sz w:val="24"/>
              <w:szCs w:val="24"/>
              <w14:ligatures w14:val="standardContextual"/>
            </w:rPr>
          </w:pPr>
          <w:hyperlink w:anchor="_Toc188252334" w:history="1">
            <w:r w:rsidRPr="00DE7613">
              <w:rPr>
                <w:rStyle w:val="Hyperlink"/>
                <w:rFonts w:asciiTheme="minorHAnsi" w:hAnsiTheme="minorHAnsi"/>
                <w:noProof/>
              </w:rPr>
              <w:t>ECS - Appendix E – High-Level and Low-Level Radioactive Waste Storage</w:t>
            </w:r>
            <w:r>
              <w:rPr>
                <w:noProof/>
                <w:webHidden/>
              </w:rPr>
              <w:tab/>
            </w:r>
            <w:r>
              <w:rPr>
                <w:noProof/>
                <w:webHidden/>
              </w:rPr>
              <w:fldChar w:fldCharType="begin"/>
            </w:r>
            <w:r>
              <w:rPr>
                <w:noProof/>
                <w:webHidden/>
              </w:rPr>
              <w:instrText xml:space="preserve"> PAGEREF _Toc188252334 \h </w:instrText>
            </w:r>
            <w:r>
              <w:rPr>
                <w:noProof/>
                <w:webHidden/>
              </w:rPr>
            </w:r>
            <w:r>
              <w:rPr>
                <w:noProof/>
                <w:webHidden/>
              </w:rPr>
              <w:fldChar w:fldCharType="separate"/>
            </w:r>
            <w:r w:rsidR="00D27D76">
              <w:rPr>
                <w:noProof/>
                <w:webHidden/>
              </w:rPr>
              <w:t>76</w:t>
            </w:r>
            <w:r>
              <w:rPr>
                <w:noProof/>
                <w:webHidden/>
              </w:rPr>
              <w:fldChar w:fldCharType="end"/>
            </w:r>
          </w:hyperlink>
        </w:p>
        <w:p w14:paraId="1C0214C5" w14:textId="588430BC" w:rsidR="00473222" w:rsidRDefault="00473222">
          <w:r w:rsidRPr="005279D4">
            <w:rPr>
              <w:b/>
              <w:bCs/>
              <w:caps/>
              <w:sz w:val="20"/>
              <w:szCs w:val="20"/>
            </w:rPr>
            <w:fldChar w:fldCharType="end"/>
          </w:r>
        </w:p>
      </w:sdtContent>
    </w:sdt>
    <w:p w14:paraId="66F85B4D" w14:textId="77777777" w:rsidR="00EA0F46" w:rsidRDefault="00EA0F46" w:rsidP="002739B0">
      <w:pPr>
        <w:sectPr w:rsidR="00EA0F46" w:rsidSect="004F016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576" w:gutter="0"/>
          <w:pgNumType w:start="1"/>
          <w:cols w:space="720"/>
          <w:docGrid w:linePitch="360"/>
        </w:sectPr>
      </w:pPr>
    </w:p>
    <w:p w14:paraId="01C47BEE" w14:textId="6EB3ACFC" w:rsidR="00756E07" w:rsidRPr="004F0C64" w:rsidRDefault="003C508C" w:rsidP="003C508C">
      <w:pPr>
        <w:pStyle w:val="Heading1"/>
      </w:pPr>
      <w:bookmarkStart w:id="2" w:name="_Toc94197858"/>
      <w:bookmarkStart w:id="3" w:name="_Toc117253444"/>
      <w:bookmarkStart w:id="4" w:name="_Toc188252312"/>
      <w:r>
        <w:lastRenderedPageBreak/>
        <w:t>1.0</w:t>
      </w:r>
      <w:r>
        <w:tab/>
      </w:r>
      <w:r w:rsidR="00756E07" w:rsidRPr="004F0C64">
        <w:t>Introduction</w:t>
      </w:r>
      <w:bookmarkEnd w:id="2"/>
      <w:bookmarkEnd w:id="3"/>
      <w:bookmarkEnd w:id="4"/>
    </w:p>
    <w:p w14:paraId="388D26BC" w14:textId="408DE477" w:rsidR="00453E13" w:rsidRPr="005D3692" w:rsidRDefault="00343B7A" w:rsidP="009759F8">
      <w:r w:rsidRPr="009C796C">
        <w:t xml:space="preserve">Georgia Power is committed to meeting its environmental compliance obligations while also providing customers with clean, safe, reliable, and affordable energy. </w:t>
      </w:r>
      <w:r w:rsidR="00384CC8">
        <w:t xml:space="preserve">The Company </w:t>
      </w:r>
      <w:r w:rsidRPr="009C796C">
        <w:t xml:space="preserve">has </w:t>
      </w:r>
      <w:r w:rsidR="007352E0">
        <w:t>reduced</w:t>
      </w:r>
      <w:r w:rsidRPr="009C796C">
        <w:t xml:space="preserve"> nitrogen oxides (“NO</w:t>
      </w:r>
      <w:r w:rsidRPr="009C796C">
        <w:rPr>
          <w:vertAlign w:val="subscript"/>
        </w:rPr>
        <w:t>x</w:t>
      </w:r>
      <w:r w:rsidRPr="009C796C">
        <w:t>”) and sulfur dioxide (“SO</w:t>
      </w:r>
      <w:r w:rsidRPr="009C796C">
        <w:rPr>
          <w:vertAlign w:val="subscript"/>
        </w:rPr>
        <w:t>2</w:t>
      </w:r>
      <w:r w:rsidRPr="009C796C">
        <w:t>”) emission</w:t>
      </w:r>
      <w:r w:rsidR="00CD37EE">
        <w:t>s</w:t>
      </w:r>
      <w:r w:rsidRPr="009C796C">
        <w:t xml:space="preserve"> </w:t>
      </w:r>
      <w:r w:rsidR="00C150F0">
        <w:t xml:space="preserve">from its generating fleet </w:t>
      </w:r>
      <w:r w:rsidR="007352E0">
        <w:t xml:space="preserve">by </w:t>
      </w:r>
      <w:r w:rsidR="008F3A96">
        <w:t xml:space="preserve">more </w:t>
      </w:r>
      <w:r w:rsidR="0069636D">
        <w:t xml:space="preserve">than </w:t>
      </w:r>
      <w:r w:rsidRPr="009C796C">
        <w:t>9</w:t>
      </w:r>
      <w:r w:rsidR="000A187A">
        <w:t>5</w:t>
      </w:r>
      <w:r w:rsidR="00DF123A">
        <w:t>%</w:t>
      </w:r>
      <w:r w:rsidRPr="009C796C">
        <w:t xml:space="preserve"> and 99</w:t>
      </w:r>
      <w:r w:rsidR="00DF123A">
        <w:t>%</w:t>
      </w:r>
      <w:r w:rsidRPr="009C796C">
        <w:t>, respectively, since 199</w:t>
      </w:r>
      <w:r w:rsidR="000A53E3">
        <w:t xml:space="preserve">0, while </w:t>
      </w:r>
      <w:r w:rsidRPr="009C796C">
        <w:t>mercury emission</w:t>
      </w:r>
      <w:r w:rsidR="00D453C7">
        <w:t>s</w:t>
      </w:r>
      <w:r w:rsidRPr="009C796C">
        <w:t xml:space="preserve"> </w:t>
      </w:r>
      <w:r w:rsidR="000A53E3">
        <w:t xml:space="preserve">have decreased </w:t>
      </w:r>
      <w:r w:rsidR="00CF7B7E">
        <w:t>by</w:t>
      </w:r>
      <w:r w:rsidRPr="009C796C">
        <w:t xml:space="preserve"> </w:t>
      </w:r>
      <w:r w:rsidR="0069636D">
        <w:t>more than</w:t>
      </w:r>
      <w:r w:rsidRPr="009C796C">
        <w:t xml:space="preserve"> 9</w:t>
      </w:r>
      <w:r w:rsidR="0069636D">
        <w:t>8</w:t>
      </w:r>
      <w:r w:rsidR="003445EE">
        <w:t>%</w:t>
      </w:r>
      <w:r w:rsidRPr="009C796C">
        <w:t xml:space="preserve"> </w:t>
      </w:r>
      <w:r w:rsidR="00CF7B7E">
        <w:t xml:space="preserve">and </w:t>
      </w:r>
      <w:r w:rsidRPr="009C796C">
        <w:t>CO</w:t>
      </w:r>
      <w:r w:rsidRPr="009C796C">
        <w:rPr>
          <w:vertAlign w:val="subscript"/>
        </w:rPr>
        <w:t>2</w:t>
      </w:r>
      <w:r w:rsidRPr="009C796C">
        <w:t xml:space="preserve"> emissions by more than 60</w:t>
      </w:r>
      <w:r w:rsidR="00CF4F48">
        <w:t>%</w:t>
      </w:r>
      <w:r w:rsidRPr="009C796C">
        <w:t xml:space="preserve"> </w:t>
      </w:r>
      <w:r w:rsidR="00CF7B7E">
        <w:t>since</w:t>
      </w:r>
      <w:r w:rsidR="000A53E3">
        <w:t xml:space="preserve"> 2007. </w:t>
      </w:r>
      <w:r w:rsidR="00D465B1" w:rsidRPr="009C796C">
        <w:t xml:space="preserve">Further, </w:t>
      </w:r>
      <w:r w:rsidR="00D465B1">
        <w:t xml:space="preserve">water withdrawals </w:t>
      </w:r>
      <w:r w:rsidR="00384CC8">
        <w:t xml:space="preserve">have decreased </w:t>
      </w:r>
      <w:r w:rsidR="00D465B1">
        <w:t xml:space="preserve">by 90% since 2003 with the transition of the generation fleet. </w:t>
      </w:r>
      <w:r w:rsidR="0026307E">
        <w:t xml:space="preserve">Wastewater discharge requirements </w:t>
      </w:r>
      <w:r w:rsidR="00D465B1" w:rsidRPr="009C796C">
        <w:t xml:space="preserve">and ash pond closures have resulted in the installation of </w:t>
      </w:r>
      <w:r w:rsidR="00D465B1">
        <w:t>16</w:t>
      </w:r>
      <w:r w:rsidR="00D465B1" w:rsidRPr="009C796C">
        <w:t xml:space="preserve"> wastewater treatment systems </w:t>
      </w:r>
      <w:r w:rsidR="00D465B1">
        <w:t xml:space="preserve">and </w:t>
      </w:r>
      <w:r w:rsidR="00D465B1" w:rsidRPr="009C796C">
        <w:t>dry</w:t>
      </w:r>
      <w:r w:rsidR="00D465B1">
        <w:t xml:space="preserve"> or </w:t>
      </w:r>
      <w:r w:rsidR="00D465B1" w:rsidRPr="009C796C">
        <w:t xml:space="preserve">zero discharge ash handling equipment for </w:t>
      </w:r>
      <w:r w:rsidR="00D465B1">
        <w:t>coal facilities</w:t>
      </w:r>
      <w:r w:rsidR="00D465B1" w:rsidRPr="009C796C">
        <w:t xml:space="preserve">. </w:t>
      </w:r>
      <w:r w:rsidR="00B77BB1">
        <w:t xml:space="preserve">The Company </w:t>
      </w:r>
      <w:r w:rsidR="00D465B1">
        <w:t>has</w:t>
      </w:r>
      <w:r w:rsidR="00D465B1" w:rsidRPr="003D640E">
        <w:t xml:space="preserve"> </w:t>
      </w:r>
      <w:r w:rsidR="00B77BB1">
        <w:t xml:space="preserve">also </w:t>
      </w:r>
      <w:r w:rsidR="00D465B1" w:rsidRPr="003D640E">
        <w:t>market</w:t>
      </w:r>
      <w:r w:rsidR="00D465B1">
        <w:t>ed</w:t>
      </w:r>
      <w:r w:rsidR="00D465B1" w:rsidRPr="005877E1">
        <w:t xml:space="preserve"> </w:t>
      </w:r>
      <w:r w:rsidR="00D465B1" w:rsidRPr="003D640E">
        <w:t>for beneficial us</w:t>
      </w:r>
      <w:r w:rsidR="00D465B1" w:rsidRPr="00E94E90">
        <w:t xml:space="preserve">e, </w:t>
      </w:r>
      <w:r w:rsidR="00D465B1" w:rsidRPr="0085719B">
        <w:t xml:space="preserve">over a </w:t>
      </w:r>
      <w:r w:rsidR="00E94E90">
        <w:t>five</w:t>
      </w:r>
      <w:r w:rsidR="00D465B1" w:rsidRPr="0085719B">
        <w:t>-year average, more than 85</w:t>
      </w:r>
      <w:r w:rsidR="00CF4F48">
        <w:t>%</w:t>
      </w:r>
      <w:r w:rsidR="00D465B1" w:rsidRPr="0085719B">
        <w:t xml:space="preserve"> of the CCR generated from plant operations</w:t>
      </w:r>
      <w:r w:rsidR="00D465B1" w:rsidRPr="00E94E90">
        <w:t xml:space="preserve">, </w:t>
      </w:r>
      <w:r w:rsidR="00D465B1" w:rsidRPr="00E94E90">
        <w:rPr>
          <w:lang w:val="en"/>
        </w:rPr>
        <w:t>significant</w:t>
      </w:r>
      <w:r w:rsidR="00D465B1" w:rsidRPr="009C796C">
        <w:rPr>
          <w:lang w:val="en"/>
        </w:rPr>
        <w:t>ly reducing waste streams for the benefit of customers and the environment</w:t>
      </w:r>
      <w:r w:rsidR="0046348E">
        <w:rPr>
          <w:lang w:val="en"/>
        </w:rPr>
        <w:t>.</w:t>
      </w:r>
      <w:r>
        <w:t xml:space="preserve"> </w:t>
      </w:r>
    </w:p>
    <w:p w14:paraId="2592A78A" w14:textId="0F822F2C" w:rsidR="00730219" w:rsidRPr="00DB7156" w:rsidRDefault="00730219" w:rsidP="00730219">
      <w:pPr>
        <w:spacing w:after="0" w:line="240" w:lineRule="auto"/>
        <w:jc w:val="center"/>
        <w:rPr>
          <w:rFonts w:cs="Arial"/>
          <w:b/>
          <w:bCs/>
          <w:sz w:val="20"/>
          <w:szCs w:val="20"/>
        </w:rPr>
      </w:pPr>
      <w:r w:rsidRPr="00DB7156">
        <w:rPr>
          <w:rFonts w:cs="Arial"/>
          <w:b/>
          <w:bCs/>
          <w:sz w:val="20"/>
          <w:szCs w:val="20"/>
        </w:rPr>
        <w:t>Figure</w:t>
      </w:r>
      <w:r>
        <w:rPr>
          <w:rFonts w:cs="Arial"/>
          <w:b/>
          <w:bCs/>
          <w:sz w:val="20"/>
          <w:szCs w:val="20"/>
        </w:rPr>
        <w:t xml:space="preserve"> </w:t>
      </w:r>
      <w:r>
        <w:rPr>
          <w:rFonts w:cs="Arial"/>
          <w:b/>
          <w:bCs/>
          <w:sz w:val="20"/>
          <w:szCs w:val="20"/>
        </w:rPr>
        <w:fldChar w:fldCharType="begin"/>
      </w:r>
      <w:r>
        <w:rPr>
          <w:rFonts w:cs="Arial"/>
          <w:b/>
          <w:bCs/>
          <w:sz w:val="20"/>
          <w:szCs w:val="20"/>
        </w:rPr>
        <w:instrText xml:space="preserve"> SEQ Figure \* ARABIC \* MERGEFORMAT </w:instrText>
      </w:r>
      <w:r>
        <w:rPr>
          <w:rFonts w:cs="Arial"/>
          <w:b/>
          <w:bCs/>
          <w:sz w:val="20"/>
          <w:szCs w:val="20"/>
        </w:rPr>
        <w:fldChar w:fldCharType="separate"/>
      </w:r>
      <w:r w:rsidR="001F2CED">
        <w:rPr>
          <w:rFonts w:cs="Arial"/>
          <w:b/>
          <w:bCs/>
          <w:noProof/>
          <w:sz w:val="20"/>
          <w:szCs w:val="20"/>
        </w:rPr>
        <w:t>1</w:t>
      </w:r>
      <w:r>
        <w:rPr>
          <w:rFonts w:cs="Arial"/>
          <w:b/>
          <w:bCs/>
          <w:sz w:val="20"/>
          <w:szCs w:val="20"/>
        </w:rPr>
        <w:fldChar w:fldCharType="end"/>
      </w:r>
      <w:r w:rsidR="000A2CC3">
        <w:rPr>
          <w:rFonts w:cs="Arial"/>
          <w:b/>
          <w:bCs/>
          <w:sz w:val="20"/>
          <w:szCs w:val="20"/>
        </w:rPr>
        <w:t>.</w:t>
      </w:r>
      <w:r w:rsidRPr="00DB7156">
        <w:rPr>
          <w:rFonts w:cs="Arial"/>
          <w:b/>
          <w:bCs/>
          <w:sz w:val="20"/>
          <w:szCs w:val="20"/>
        </w:rPr>
        <w:t xml:space="preserve"> Georgia Power Emissions</w:t>
      </w:r>
      <w:r>
        <w:rPr>
          <w:rFonts w:cs="Arial"/>
          <w:b/>
          <w:bCs/>
          <w:sz w:val="20"/>
          <w:szCs w:val="20"/>
        </w:rPr>
        <w:t xml:space="preserve"> Trends</w:t>
      </w:r>
    </w:p>
    <w:p w14:paraId="11C856AE" w14:textId="03182C5B" w:rsidR="00343B7A" w:rsidRDefault="0093421F" w:rsidP="00ED5B30">
      <w:pPr>
        <w:spacing w:after="0" w:line="240" w:lineRule="auto"/>
      </w:pPr>
      <w:r w:rsidRPr="0093421F">
        <w:rPr>
          <w:noProof/>
        </w:rPr>
        <w:drawing>
          <wp:inline distT="0" distB="0" distL="0" distR="0" wp14:anchorId="19F0E2EE" wp14:editId="44F3DB96">
            <wp:extent cx="5943600" cy="3316494"/>
            <wp:effectExtent l="0" t="0" r="0" b="0"/>
            <wp:docPr id="6046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6579" name=""/>
                    <pic:cNvPicPr/>
                  </pic:nvPicPr>
                  <pic:blipFill rotWithShape="1">
                    <a:blip r:embed="rId15"/>
                    <a:srcRect t="11462"/>
                    <a:stretch/>
                  </pic:blipFill>
                  <pic:spPr bwMode="auto">
                    <a:xfrm>
                      <a:off x="0" y="0"/>
                      <a:ext cx="5943600" cy="3316494"/>
                    </a:xfrm>
                    <a:prstGeom prst="rect">
                      <a:avLst/>
                    </a:prstGeom>
                    <a:ln>
                      <a:noFill/>
                    </a:ln>
                    <a:extLst>
                      <a:ext uri="{53640926-AAD7-44D8-BBD7-CCE9431645EC}">
                        <a14:shadowObscured xmlns:a14="http://schemas.microsoft.com/office/drawing/2010/main"/>
                      </a:ext>
                    </a:extLst>
                  </pic:spPr>
                </pic:pic>
              </a:graphicData>
            </a:graphic>
          </wp:inline>
        </w:drawing>
      </w:r>
    </w:p>
    <w:p w14:paraId="6DE3886D" w14:textId="1EABA995" w:rsidR="00CC1853" w:rsidRDefault="00CC1853" w:rsidP="00550481">
      <w:r w:rsidRPr="009C796C">
        <w:t>The Company’s ECS seeks to continually optimize compliance plans in an increasingly dynamic regulatory environment. The comprehensive annual strategy development process considers existing and potential legislative and regulatory requirements and determines plant-specific compliance options. These options are evaluated based on</w:t>
      </w:r>
      <w:r>
        <w:t xml:space="preserve"> available</w:t>
      </w:r>
      <w:r w:rsidRPr="009C796C">
        <w:t xml:space="preserve"> technology, cost, schedule, </w:t>
      </w:r>
      <w:r w:rsidR="004F13AF">
        <w:t xml:space="preserve">and </w:t>
      </w:r>
      <w:r w:rsidRPr="009C796C">
        <w:t>impact to plant operations, the environment, and surrounding communities. This iterative approach is designed to provide</w:t>
      </w:r>
      <w:r>
        <w:t xml:space="preserve"> the Company</w:t>
      </w:r>
      <w:r w:rsidRPr="009C796C">
        <w:t xml:space="preserve"> the necessary flexibility to develop and refine compliance plans to </w:t>
      </w:r>
      <w:r>
        <w:t>cost-effectively</w:t>
      </w:r>
      <w:r w:rsidRPr="009C796C">
        <w:t xml:space="preserve"> maintain and operate a diverse generation mix to serve customers.</w:t>
      </w:r>
    </w:p>
    <w:p w14:paraId="45583538" w14:textId="02F38532" w:rsidR="00FD1A69" w:rsidRPr="00E52036" w:rsidRDefault="00343B7A" w:rsidP="00550481">
      <w:r w:rsidRPr="009C796C">
        <w:t xml:space="preserve">As provided in </w:t>
      </w:r>
      <w:r w:rsidR="003A31C0">
        <w:t>G</w:t>
      </w:r>
      <w:r w:rsidRPr="009C796C">
        <w:t xml:space="preserve">PSC Rule 515-3-4-.04(1)(c), the Company’s ECS includes a detailed overview of current and proposed environmental regulations, existing environmental law, </w:t>
      </w:r>
      <w:r w:rsidR="00D53995">
        <w:t xml:space="preserve">and </w:t>
      </w:r>
      <w:r w:rsidRPr="009C796C">
        <w:t xml:space="preserve">potential </w:t>
      </w:r>
      <w:r w:rsidRPr="009C796C">
        <w:lastRenderedPageBreak/>
        <w:t>legislation</w:t>
      </w:r>
      <w:r w:rsidR="00D53995">
        <w:t xml:space="preserve"> applicable to electric generating plants</w:t>
      </w:r>
      <w:r w:rsidRPr="009C796C">
        <w:t xml:space="preserve">, </w:t>
      </w:r>
      <w:r w:rsidR="00D53995">
        <w:t xml:space="preserve">as well as </w:t>
      </w:r>
      <w:r w:rsidRPr="009C796C">
        <w:t xml:space="preserve">a comprehensive </w:t>
      </w:r>
      <w:r w:rsidR="009E7C12">
        <w:t xml:space="preserve">and cost-effective </w:t>
      </w:r>
      <w:r w:rsidRPr="009C796C">
        <w:t>strategy for compliance</w:t>
      </w:r>
      <w:r w:rsidR="00FD1A69" w:rsidRPr="36A37EEC">
        <w:rPr>
          <w:rFonts w:cs="Arial"/>
        </w:rPr>
        <w:t xml:space="preserve">. Georgia Power’s </w:t>
      </w:r>
      <w:r w:rsidR="00FB6998">
        <w:rPr>
          <w:rFonts w:cs="Arial"/>
        </w:rPr>
        <w:t>ECS</w:t>
      </w:r>
      <w:r w:rsidR="00FD1A69" w:rsidRPr="36A37EEC">
        <w:rPr>
          <w:rFonts w:cs="Arial"/>
        </w:rPr>
        <w:t xml:space="preserve"> process </w:t>
      </w:r>
      <w:r w:rsidR="00FC20B8">
        <w:rPr>
          <w:rFonts w:cs="Arial"/>
        </w:rPr>
        <w:t xml:space="preserve">is designed </w:t>
      </w:r>
      <w:r w:rsidR="00FD1A69" w:rsidRPr="36A37EEC">
        <w:rPr>
          <w:rFonts w:cs="Arial"/>
        </w:rPr>
        <w:t xml:space="preserve">to adapt to changing regulations and assure compliance </w:t>
      </w:r>
      <w:r w:rsidR="00411ADD">
        <w:rPr>
          <w:rFonts w:cs="Arial"/>
        </w:rPr>
        <w:t xml:space="preserve">with </w:t>
      </w:r>
      <w:r w:rsidR="003C7D61">
        <w:rPr>
          <w:rFonts w:cs="Arial"/>
        </w:rPr>
        <w:t xml:space="preserve">robust </w:t>
      </w:r>
      <w:r w:rsidR="00411ADD">
        <w:rPr>
          <w:rFonts w:cs="Arial"/>
        </w:rPr>
        <w:t>control plans that are in the best interest</w:t>
      </w:r>
      <w:r w:rsidR="00451E35">
        <w:rPr>
          <w:rFonts w:cs="Arial"/>
        </w:rPr>
        <w:t>s</w:t>
      </w:r>
      <w:r w:rsidR="00411ADD">
        <w:rPr>
          <w:rFonts w:cs="Arial"/>
        </w:rPr>
        <w:t xml:space="preserve"> of customers</w:t>
      </w:r>
      <w:r w:rsidR="00FD1A69" w:rsidRPr="36A37EEC">
        <w:rPr>
          <w:rFonts w:cs="Arial"/>
        </w:rPr>
        <w:t xml:space="preserve">. </w:t>
      </w:r>
    </w:p>
    <w:p w14:paraId="1B349231" w14:textId="4E0EDACF" w:rsidR="00FD1A69" w:rsidRPr="003C508C" w:rsidRDefault="00BB136F" w:rsidP="003C508C">
      <w:pPr>
        <w:pStyle w:val="Heading2"/>
      </w:pPr>
      <w:bookmarkStart w:id="5" w:name="_Toc188252313"/>
      <w:r w:rsidRPr="003C508C">
        <w:t>1</w:t>
      </w:r>
      <w:r w:rsidR="00FD1A69" w:rsidRPr="003C508C">
        <w:t>.</w:t>
      </w:r>
      <w:r w:rsidR="00FD1A69" w:rsidRPr="003C508C" w:rsidDel="00447DFE">
        <w:t>1</w:t>
      </w:r>
      <w:r w:rsidR="00FD1A69" w:rsidRPr="003C508C">
        <w:t xml:space="preserve"> Strategy Process</w:t>
      </w:r>
      <w:bookmarkEnd w:id="5"/>
    </w:p>
    <w:p w14:paraId="4AD923F6" w14:textId="7223A459" w:rsidR="00FD1A69" w:rsidRPr="00DB7156" w:rsidRDefault="00FD1A69" w:rsidP="00550481">
      <w:r w:rsidRPr="00DB7156">
        <w:t xml:space="preserve">The process for developing the </w:t>
      </w:r>
      <w:r w:rsidR="00FB6998">
        <w:t>ECS</w:t>
      </w:r>
      <w:r w:rsidR="007C14B7">
        <w:t xml:space="preserve"> </w:t>
      </w:r>
      <w:r w:rsidRPr="00DB7156">
        <w:t xml:space="preserve">includes the comprehensive involvement of </w:t>
      </w:r>
      <w:proofErr w:type="gramStart"/>
      <w:r w:rsidRPr="00DB7156">
        <w:t>a number of</w:t>
      </w:r>
      <w:proofErr w:type="gramEnd"/>
      <w:r w:rsidRPr="00DB7156">
        <w:t xml:space="preserve"> organizations within the </w:t>
      </w:r>
      <w:r>
        <w:t>C</w:t>
      </w:r>
      <w:r w:rsidRPr="00DB7156">
        <w:t>ompany</w:t>
      </w:r>
      <w:r>
        <w:t xml:space="preserve">. </w:t>
      </w:r>
      <w:r w:rsidR="009E7C12">
        <w:t>In general, t</w:t>
      </w:r>
      <w:r w:rsidRPr="00DB7156">
        <w:t>his integrated process includes four steps as discussed below.</w:t>
      </w:r>
    </w:p>
    <w:p w14:paraId="0FDDBF31" w14:textId="06CA9CDA" w:rsidR="00FD1A69" w:rsidRDefault="00FD1A69" w:rsidP="00550481">
      <w:pPr>
        <w:numPr>
          <w:ilvl w:val="0"/>
          <w:numId w:val="2"/>
        </w:numPr>
        <w:tabs>
          <w:tab w:val="num" w:pos="540"/>
        </w:tabs>
        <w:spacing w:after="0"/>
        <w:ind w:left="547" w:hanging="547"/>
        <w:rPr>
          <w:rFonts w:cs="Arial"/>
        </w:rPr>
      </w:pPr>
      <w:r w:rsidRPr="7B651508">
        <w:rPr>
          <w:rFonts w:cs="Arial"/>
          <w:b/>
        </w:rPr>
        <w:t>Anticipating and integrating the outcome of new environmental requirements</w:t>
      </w:r>
      <w:r w:rsidRPr="7B651508">
        <w:rPr>
          <w:rFonts w:cs="Arial"/>
        </w:rPr>
        <w:t>. The first step involves gathering all available knowledge about current and potential future local, state, regional, and federal environmental requirements</w:t>
      </w:r>
      <w:r w:rsidR="003C30D0">
        <w:rPr>
          <w:rFonts w:cs="Arial"/>
        </w:rPr>
        <w:t xml:space="preserve">, </w:t>
      </w:r>
      <w:r w:rsidR="00E339AC">
        <w:rPr>
          <w:rFonts w:cs="Arial"/>
        </w:rPr>
        <w:t xml:space="preserve">whether </w:t>
      </w:r>
      <w:r w:rsidR="003C30D0">
        <w:rPr>
          <w:rFonts w:cs="Arial"/>
        </w:rPr>
        <w:t>through legislation, rulemaking</w:t>
      </w:r>
      <w:r w:rsidR="00E339AC">
        <w:rPr>
          <w:rFonts w:cs="Arial"/>
        </w:rPr>
        <w:t>, permitting, or other processes</w:t>
      </w:r>
      <w:r w:rsidRPr="7B651508">
        <w:rPr>
          <w:rFonts w:cs="Arial"/>
        </w:rPr>
        <w:t xml:space="preserve">. Some rules </w:t>
      </w:r>
      <w:r w:rsidR="00804F9A" w:rsidRPr="7B651508">
        <w:rPr>
          <w:rFonts w:cs="Arial"/>
        </w:rPr>
        <w:t>may mandate specific requirements on specific plants or assets</w:t>
      </w:r>
      <w:r w:rsidR="00804F9A">
        <w:rPr>
          <w:rFonts w:cs="Arial"/>
        </w:rPr>
        <w:t xml:space="preserve">, and others </w:t>
      </w:r>
      <w:r w:rsidRPr="7B651508">
        <w:rPr>
          <w:rFonts w:cs="Arial"/>
        </w:rPr>
        <w:t xml:space="preserve">may </w:t>
      </w:r>
      <w:r w:rsidR="007B1F64">
        <w:rPr>
          <w:rFonts w:cs="Arial"/>
        </w:rPr>
        <w:t xml:space="preserve">require participation in </w:t>
      </w:r>
      <w:r w:rsidRPr="7B651508">
        <w:rPr>
          <w:rFonts w:cs="Arial"/>
        </w:rPr>
        <w:t xml:space="preserve">an allowance-based cap and trade program over a regional or national scale. For many </w:t>
      </w:r>
      <w:r w:rsidR="007B7CC5">
        <w:rPr>
          <w:rFonts w:cs="Arial"/>
        </w:rPr>
        <w:t>rules</w:t>
      </w:r>
      <w:r w:rsidRPr="7B651508">
        <w:rPr>
          <w:rFonts w:cs="Arial"/>
        </w:rPr>
        <w:t xml:space="preserve">, the possibility that litigation will result in </w:t>
      </w:r>
      <w:r w:rsidR="007B7CC5">
        <w:rPr>
          <w:rFonts w:cs="Arial"/>
        </w:rPr>
        <w:t xml:space="preserve">further </w:t>
      </w:r>
      <w:r w:rsidRPr="7B651508">
        <w:rPr>
          <w:rFonts w:cs="Arial"/>
        </w:rPr>
        <w:t>changes creates additional uncertainty.</w:t>
      </w:r>
    </w:p>
    <w:p w14:paraId="1AA322FD" w14:textId="547A8CE0" w:rsidR="00FD1A69" w:rsidRPr="00DF11FF" w:rsidRDefault="00FD1A69" w:rsidP="00550481">
      <w:pPr>
        <w:numPr>
          <w:ilvl w:val="0"/>
          <w:numId w:val="2"/>
        </w:numPr>
        <w:tabs>
          <w:tab w:val="num" w:pos="540"/>
        </w:tabs>
        <w:spacing w:after="0"/>
        <w:ind w:left="547" w:hanging="547"/>
        <w:rPr>
          <w:rFonts w:cs="Arial"/>
        </w:rPr>
      </w:pPr>
      <w:r w:rsidRPr="14517B98">
        <w:rPr>
          <w:rFonts w:cs="Arial"/>
          <w:b/>
        </w:rPr>
        <w:t xml:space="preserve">Developing assumptions on </w:t>
      </w:r>
      <w:r w:rsidRPr="0CDD8AA5">
        <w:rPr>
          <w:rFonts w:cs="Arial"/>
          <w:b/>
          <w:bCs/>
        </w:rPr>
        <w:t>federal</w:t>
      </w:r>
      <w:r w:rsidRPr="14517B98">
        <w:rPr>
          <w:rFonts w:cs="Arial"/>
          <w:b/>
        </w:rPr>
        <w:t xml:space="preserve"> and </w:t>
      </w:r>
      <w:r w:rsidRPr="0CDD8AA5">
        <w:rPr>
          <w:rFonts w:cs="Arial"/>
          <w:b/>
          <w:bCs/>
        </w:rPr>
        <w:t>state</w:t>
      </w:r>
      <w:r w:rsidRPr="14517B98">
        <w:rPr>
          <w:rFonts w:cs="Arial"/>
          <w:b/>
        </w:rPr>
        <w:t xml:space="preserve"> levels.</w:t>
      </w:r>
      <w:r w:rsidRPr="14517B98">
        <w:rPr>
          <w:rFonts w:cs="Arial"/>
        </w:rPr>
        <w:t xml:space="preserve"> </w:t>
      </w:r>
      <w:proofErr w:type="gramStart"/>
      <w:r w:rsidRPr="14517B98">
        <w:rPr>
          <w:rFonts w:cs="Arial"/>
        </w:rPr>
        <w:t>In order to</w:t>
      </w:r>
      <w:proofErr w:type="gramEnd"/>
      <w:r w:rsidRPr="14517B98">
        <w:rPr>
          <w:rFonts w:cs="Arial"/>
        </w:rPr>
        <w:t xml:space="preserve"> anticipate the impacts of </w:t>
      </w:r>
      <w:r w:rsidR="00664F08">
        <w:rPr>
          <w:rFonts w:cs="Arial"/>
        </w:rPr>
        <w:t xml:space="preserve">federal and state environmental </w:t>
      </w:r>
      <w:r w:rsidRPr="14517B98">
        <w:rPr>
          <w:rFonts w:cs="Arial"/>
        </w:rPr>
        <w:t>requirements on generating plants, the Company engages in a robust integrated resource planning process. This process evaluates the economic and reliability impacts of numerous generating resource decisions across a range of scenarios. The scenarios include a range of assumptions that appropriately consider future regulatory and market uncertainty and risk.</w:t>
      </w:r>
      <w:r w:rsidR="007C14B7">
        <w:rPr>
          <w:rFonts w:cs="Arial"/>
        </w:rPr>
        <w:t xml:space="preserve"> </w:t>
      </w:r>
    </w:p>
    <w:p w14:paraId="08A3DF5E" w14:textId="2660C5AD" w:rsidR="00FD1A69" w:rsidRPr="006E20C5" w:rsidRDefault="00FD1A69" w:rsidP="00550481">
      <w:pPr>
        <w:numPr>
          <w:ilvl w:val="0"/>
          <w:numId w:val="2"/>
        </w:numPr>
        <w:tabs>
          <w:tab w:val="num" w:pos="540"/>
        </w:tabs>
        <w:spacing w:after="0"/>
        <w:ind w:left="547" w:hanging="547"/>
        <w:rPr>
          <w:rFonts w:cs="Arial"/>
        </w:rPr>
      </w:pPr>
      <w:r w:rsidRPr="006E20C5">
        <w:rPr>
          <w:rFonts w:cs="Arial"/>
          <w:b/>
          <w:bCs/>
          <w:szCs w:val="24"/>
        </w:rPr>
        <w:t>Appl</w:t>
      </w:r>
      <w:r w:rsidR="00EB009B">
        <w:rPr>
          <w:rFonts w:cs="Arial"/>
          <w:b/>
          <w:bCs/>
          <w:szCs w:val="24"/>
        </w:rPr>
        <w:t>ying</w:t>
      </w:r>
      <w:r w:rsidRPr="006E20C5">
        <w:rPr>
          <w:rFonts w:cs="Arial"/>
          <w:b/>
          <w:bCs/>
          <w:szCs w:val="24"/>
        </w:rPr>
        <w:t xml:space="preserve"> generating unit-specific control technology options. </w:t>
      </w:r>
      <w:r w:rsidRPr="006E20C5">
        <w:rPr>
          <w:rFonts w:cs="Arial"/>
          <w:szCs w:val="24"/>
        </w:rPr>
        <w:t xml:space="preserve">The application of control technology </w:t>
      </w:r>
      <w:r w:rsidR="0080066C" w:rsidRPr="006E20C5">
        <w:rPr>
          <w:rFonts w:cs="Arial"/>
          <w:szCs w:val="24"/>
        </w:rPr>
        <w:t>requirements in the process is performed on a unit-by-unit basis</w:t>
      </w:r>
      <w:r w:rsidRPr="006E20C5">
        <w:rPr>
          <w:rFonts w:cs="Arial"/>
          <w:szCs w:val="24"/>
        </w:rPr>
        <w:t>. In some cases, the plant or unit’s environmental control requirements are mandated, such as a plant-specific limit to meet the NPDES permit requirements. In other cases, such as the cap-and-trade program for SO</w:t>
      </w:r>
      <w:r w:rsidRPr="006E20C5">
        <w:rPr>
          <w:rFonts w:cs="Arial"/>
          <w:szCs w:val="24"/>
          <w:vertAlign w:val="subscript"/>
        </w:rPr>
        <w:t>2</w:t>
      </w:r>
      <w:r w:rsidRPr="006E20C5">
        <w:rPr>
          <w:rFonts w:cs="Arial"/>
          <w:szCs w:val="24"/>
        </w:rPr>
        <w:t xml:space="preserve"> established to address acid rain, utilities can choose the most cost-effective </w:t>
      </w:r>
      <w:r w:rsidR="005773DB">
        <w:rPr>
          <w:rFonts w:cs="Arial"/>
          <w:szCs w:val="24"/>
        </w:rPr>
        <w:t xml:space="preserve">of </w:t>
      </w:r>
      <w:r w:rsidR="00CB36CD">
        <w:rPr>
          <w:rFonts w:cs="Arial"/>
          <w:szCs w:val="24"/>
        </w:rPr>
        <w:t xml:space="preserve">multiple </w:t>
      </w:r>
      <w:r w:rsidRPr="006E20C5">
        <w:rPr>
          <w:rFonts w:cs="Arial"/>
          <w:szCs w:val="24"/>
        </w:rPr>
        <w:t>option</w:t>
      </w:r>
      <w:r w:rsidR="00CB36CD">
        <w:rPr>
          <w:rFonts w:cs="Arial"/>
          <w:szCs w:val="24"/>
        </w:rPr>
        <w:t>s</w:t>
      </w:r>
      <w:r w:rsidRPr="006E20C5">
        <w:rPr>
          <w:rFonts w:cs="Arial"/>
          <w:szCs w:val="24"/>
        </w:rPr>
        <w:t xml:space="preserve">, </w:t>
      </w:r>
      <w:r w:rsidR="00CB36CD">
        <w:rPr>
          <w:rFonts w:cs="Arial"/>
          <w:szCs w:val="24"/>
        </w:rPr>
        <w:t xml:space="preserve">such as </w:t>
      </w:r>
      <w:r w:rsidRPr="006E20C5">
        <w:rPr>
          <w:rFonts w:cs="Arial"/>
          <w:szCs w:val="24"/>
        </w:rPr>
        <w:t xml:space="preserve">fuel switching, applying a control technology, or purchasing emission allowances. </w:t>
      </w:r>
      <w:bookmarkStart w:id="6" w:name="_Hlk529265734"/>
      <w:r w:rsidR="00671E4A" w:rsidRPr="005421B9">
        <w:rPr>
          <w:rFonts w:cs="Arial"/>
          <w:szCs w:val="24"/>
        </w:rPr>
        <w:t xml:space="preserve">As discussed in </w:t>
      </w:r>
      <w:hyperlink w:anchor="_ECS_-_Appendix" w:history="1">
        <w:r w:rsidR="00671E4A" w:rsidRPr="001A45F7">
          <w:rPr>
            <w:rStyle w:val="Hyperlink"/>
            <w:rFonts w:asciiTheme="minorHAnsi" w:hAnsiTheme="minorHAnsi" w:cs="Arial"/>
            <w:color w:val="auto"/>
            <w:szCs w:val="24"/>
            <w:u w:val="none"/>
          </w:rPr>
          <w:t xml:space="preserve">Appendix </w:t>
        </w:r>
        <w:r w:rsidR="0016758E" w:rsidRPr="001A45F7">
          <w:rPr>
            <w:rStyle w:val="Hyperlink"/>
            <w:rFonts w:asciiTheme="minorHAnsi" w:hAnsiTheme="minorHAnsi" w:cs="Arial"/>
            <w:color w:val="auto"/>
            <w:szCs w:val="24"/>
            <w:u w:val="none"/>
          </w:rPr>
          <w:t>C</w:t>
        </w:r>
      </w:hyperlink>
      <w:r w:rsidR="00671E4A" w:rsidRPr="006E20C5">
        <w:rPr>
          <w:rFonts w:cs="Arial"/>
          <w:szCs w:val="24"/>
        </w:rPr>
        <w:t xml:space="preserve">, </w:t>
      </w:r>
      <w:r w:rsidR="00787ABD" w:rsidRPr="00DB7156">
        <w:t xml:space="preserve">Research and </w:t>
      </w:r>
      <w:r w:rsidR="00787ABD">
        <w:t>D</w:t>
      </w:r>
      <w:r w:rsidR="00787ABD" w:rsidRPr="00DB7156">
        <w:t xml:space="preserve">evelopment </w:t>
      </w:r>
      <w:r w:rsidR="00787ABD">
        <w:t xml:space="preserve">(“R&amp;D”) continues to be </w:t>
      </w:r>
      <w:r w:rsidR="00787ABD" w:rsidRPr="00DB7156">
        <w:t xml:space="preserve">an integral part of the overall Georgia Power environmental strategy and compliance plan. Through research, </w:t>
      </w:r>
      <w:r w:rsidR="00787ABD">
        <w:t xml:space="preserve">development, and demonstration, </w:t>
      </w:r>
      <w:r w:rsidR="00787ABD" w:rsidRPr="00DB7156">
        <w:t xml:space="preserve">technologies are evaluated and selected for possible implementation to meet compliance with </w:t>
      </w:r>
      <w:r w:rsidR="00CB36CD">
        <w:t>applicable environmental</w:t>
      </w:r>
      <w:r w:rsidR="00787ABD" w:rsidRPr="00DB7156">
        <w:t xml:space="preserve"> requirements. Technology-related decisions are made based on compliance alternatives, technical review (often following actual testing), schedules, equipmen</w:t>
      </w:r>
      <w:r w:rsidR="00E80820">
        <w:t xml:space="preserve">t </w:t>
      </w:r>
      <w:r w:rsidR="00787ABD" w:rsidRPr="00DB7156">
        <w:t xml:space="preserve">vendor price quotes, total costs over the useful life, specific unit issues, and performance guarantees. </w:t>
      </w:r>
      <w:r w:rsidR="00671E4A" w:rsidRPr="006E20C5">
        <w:rPr>
          <w:rFonts w:cs="Arial"/>
          <w:szCs w:val="24"/>
        </w:rPr>
        <w:t>The process reviews the cost, control effectiveness, regulatory timing requirements, system reliability impacts, and operational considerations of the applicable options in developing a unit-specific decision on the application of environmental control technologies.</w:t>
      </w:r>
      <w:r w:rsidR="006E20C5">
        <w:rPr>
          <w:rFonts w:cs="Arial"/>
          <w:szCs w:val="24"/>
        </w:rPr>
        <w:t xml:space="preserve"> </w:t>
      </w:r>
    </w:p>
    <w:p w14:paraId="7438D9AB" w14:textId="3275117E" w:rsidR="00663FB4" w:rsidRPr="000B3259" w:rsidRDefault="00663FB4" w:rsidP="00550481">
      <w:pPr>
        <w:numPr>
          <w:ilvl w:val="0"/>
          <w:numId w:val="2"/>
        </w:numPr>
        <w:tabs>
          <w:tab w:val="num" w:pos="540"/>
        </w:tabs>
        <w:spacing w:after="0"/>
        <w:ind w:left="547" w:hanging="547"/>
        <w:rPr>
          <w:rFonts w:cs="Arial"/>
          <w:b/>
        </w:rPr>
      </w:pPr>
      <w:r w:rsidRPr="12E428E8">
        <w:rPr>
          <w:rFonts w:cs="Arial"/>
          <w:b/>
        </w:rPr>
        <w:t xml:space="preserve">Determining and evaluating the financial requirements of the strategy. </w:t>
      </w:r>
      <w:r w:rsidRPr="12E428E8">
        <w:rPr>
          <w:rFonts w:cs="Arial"/>
        </w:rPr>
        <w:t xml:space="preserve">The final step is to </w:t>
      </w:r>
      <w:r>
        <w:rPr>
          <w:rFonts w:cs="Arial"/>
        </w:rPr>
        <w:t xml:space="preserve">determine the cost and financial impacts of the </w:t>
      </w:r>
      <w:r w:rsidR="009D415E">
        <w:rPr>
          <w:rFonts w:cs="Arial"/>
        </w:rPr>
        <w:t>ECS</w:t>
      </w:r>
      <w:r w:rsidRPr="12E428E8">
        <w:rPr>
          <w:rFonts w:cs="Arial"/>
        </w:rPr>
        <w:t>.</w:t>
      </w:r>
      <w:r>
        <w:rPr>
          <w:rFonts w:cs="Arial"/>
        </w:rPr>
        <w:t xml:space="preserve"> </w:t>
      </w:r>
      <w:r w:rsidRPr="12E428E8">
        <w:rPr>
          <w:rFonts w:cs="Arial"/>
        </w:rPr>
        <w:t xml:space="preserve">If environmental controls are mandated for a specific unit, then </w:t>
      </w:r>
      <w:r>
        <w:rPr>
          <w:rFonts w:cs="Arial"/>
        </w:rPr>
        <w:t xml:space="preserve">both </w:t>
      </w:r>
      <w:r w:rsidRPr="12E428E8">
        <w:rPr>
          <w:rFonts w:cs="Arial"/>
        </w:rPr>
        <w:t xml:space="preserve">the economic </w:t>
      </w:r>
      <w:r>
        <w:rPr>
          <w:rFonts w:cs="Arial"/>
        </w:rPr>
        <w:t xml:space="preserve">and system reliability </w:t>
      </w:r>
      <w:r w:rsidRPr="12E428E8">
        <w:rPr>
          <w:rFonts w:cs="Arial"/>
        </w:rPr>
        <w:t>value of the generating asset</w:t>
      </w:r>
      <w:r>
        <w:rPr>
          <w:rFonts w:cs="Arial"/>
        </w:rPr>
        <w:t>’s continued operation</w:t>
      </w:r>
      <w:r w:rsidRPr="12E428E8">
        <w:rPr>
          <w:rFonts w:cs="Arial"/>
        </w:rPr>
        <w:t xml:space="preserve"> must be considered in the Company’s integrated </w:t>
      </w:r>
      <w:r w:rsidR="00C9368A">
        <w:rPr>
          <w:rFonts w:cs="Arial"/>
        </w:rPr>
        <w:t xml:space="preserve">resource </w:t>
      </w:r>
      <w:r w:rsidRPr="12E428E8">
        <w:rPr>
          <w:rFonts w:cs="Arial"/>
        </w:rPr>
        <w:t xml:space="preserve">planning </w:t>
      </w:r>
      <w:r w:rsidRPr="12E428E8">
        <w:rPr>
          <w:rFonts w:cs="Arial"/>
        </w:rPr>
        <w:lastRenderedPageBreak/>
        <w:t xml:space="preserve">process </w:t>
      </w:r>
      <w:r w:rsidR="00126CC6">
        <w:rPr>
          <w:rFonts w:cs="Arial"/>
        </w:rPr>
        <w:t xml:space="preserve">along </w:t>
      </w:r>
      <w:r>
        <w:rPr>
          <w:rFonts w:cs="Arial"/>
        </w:rPr>
        <w:t>with</w:t>
      </w:r>
      <w:r w:rsidRPr="12E428E8">
        <w:rPr>
          <w:rFonts w:cs="Arial"/>
        </w:rPr>
        <w:t xml:space="preserve"> the </w:t>
      </w:r>
      <w:r>
        <w:rPr>
          <w:rFonts w:cs="Arial"/>
        </w:rPr>
        <w:t xml:space="preserve">cost of </w:t>
      </w:r>
      <w:r w:rsidR="00C57E3D">
        <w:rPr>
          <w:rFonts w:cs="Arial"/>
        </w:rPr>
        <w:t xml:space="preserve">the </w:t>
      </w:r>
      <w:r>
        <w:rPr>
          <w:rFonts w:cs="Arial"/>
        </w:rPr>
        <w:t xml:space="preserve">control </w:t>
      </w:r>
      <w:r w:rsidRPr="12E428E8">
        <w:rPr>
          <w:rFonts w:cs="Arial"/>
        </w:rPr>
        <w:t>technology.</w:t>
      </w:r>
      <w:r>
        <w:rPr>
          <w:rFonts w:cs="Arial"/>
        </w:rPr>
        <w:t xml:space="preserve"> </w:t>
      </w:r>
      <w:r w:rsidRPr="14517B98">
        <w:rPr>
          <w:rFonts w:cs="Arial"/>
        </w:rPr>
        <w:t>The Company makes</w:t>
      </w:r>
      <w:r w:rsidRPr="14517B98" w:rsidDel="00547416">
        <w:rPr>
          <w:rFonts w:cs="Arial"/>
        </w:rPr>
        <w:t xml:space="preserve"> </w:t>
      </w:r>
      <w:r w:rsidRPr="14517B98">
        <w:rPr>
          <w:rFonts w:cs="Arial"/>
        </w:rPr>
        <w:t>triennial filing</w:t>
      </w:r>
      <w:r w:rsidR="004C31F3">
        <w:rPr>
          <w:rFonts w:cs="Arial"/>
        </w:rPr>
        <w:t>s</w:t>
      </w:r>
      <w:r w:rsidRPr="14517B98">
        <w:rPr>
          <w:rFonts w:cs="Arial"/>
        </w:rPr>
        <w:t xml:space="preserve"> with the GPSC seeking approval of </w:t>
      </w:r>
      <w:r w:rsidR="00F655F7">
        <w:rPr>
          <w:rFonts w:cs="Arial"/>
        </w:rPr>
        <w:t>its</w:t>
      </w:r>
      <w:r w:rsidR="00F655F7" w:rsidRPr="14517B98">
        <w:rPr>
          <w:rFonts w:cs="Arial"/>
        </w:rPr>
        <w:t xml:space="preserve"> </w:t>
      </w:r>
      <w:r w:rsidR="00F655F7">
        <w:rPr>
          <w:rFonts w:cs="Arial"/>
        </w:rPr>
        <w:t>Integrated Resource Plan (“</w:t>
      </w:r>
      <w:r w:rsidRPr="14517B98">
        <w:rPr>
          <w:rFonts w:cs="Arial"/>
        </w:rPr>
        <w:t>IRP</w:t>
      </w:r>
      <w:r w:rsidR="00F655F7">
        <w:rPr>
          <w:rFonts w:cs="Arial"/>
        </w:rPr>
        <w:t>”)</w:t>
      </w:r>
      <w:r w:rsidRPr="14517B98">
        <w:rPr>
          <w:rFonts w:cs="Arial"/>
        </w:rPr>
        <w:t>, which includes economic evaluations of generating plants that consider load growth, compliance costs, and other economic pressures.</w:t>
      </w:r>
    </w:p>
    <w:bookmarkEnd w:id="6"/>
    <w:p w14:paraId="4B940CD0" w14:textId="4EB3536D" w:rsidR="00FD1A69" w:rsidRPr="003A016E" w:rsidRDefault="00FD1A69" w:rsidP="00550481">
      <w:pPr>
        <w:rPr>
          <w:szCs w:val="24"/>
        </w:rPr>
      </w:pPr>
      <w:r w:rsidRPr="00DB7156">
        <w:rPr>
          <w:szCs w:val="24"/>
        </w:rPr>
        <w:t xml:space="preserve">One major goal of the </w:t>
      </w:r>
      <w:r w:rsidR="00A52C95">
        <w:rPr>
          <w:szCs w:val="24"/>
        </w:rPr>
        <w:t>ECS</w:t>
      </w:r>
      <w:r w:rsidRPr="00DB7156">
        <w:rPr>
          <w:szCs w:val="24"/>
        </w:rPr>
        <w:t xml:space="preserve"> process is to maintain flexibility in compliance options and operations across the generating fleet. </w:t>
      </w:r>
      <w:r w:rsidRPr="12E428E8">
        <w:t>A key advantage of this process is that it allows decision</w:t>
      </w:r>
      <w:r w:rsidR="004E1C41">
        <w:t>-</w:t>
      </w:r>
      <w:r w:rsidRPr="12E428E8">
        <w:t xml:space="preserve">making on an incremental basis. While the strategy includes environmental control plans for the next </w:t>
      </w:r>
      <w:r w:rsidR="00831A9A">
        <w:t>ten</w:t>
      </w:r>
      <w:r w:rsidR="00831A9A" w:rsidRPr="12E428E8">
        <w:t xml:space="preserve"> </w:t>
      </w:r>
      <w:r w:rsidRPr="12E428E8">
        <w:t xml:space="preserve">years, final decisions on specific projects are not made until the Company has sufficient information to complete </w:t>
      </w:r>
      <w:r w:rsidR="004E1C41">
        <w:t xml:space="preserve">the necessary </w:t>
      </w:r>
      <w:r w:rsidRPr="12E428E8">
        <w:t>technical and economic analys</w:t>
      </w:r>
      <w:r w:rsidR="00057919">
        <w:t>e</w:t>
      </w:r>
      <w:r w:rsidRPr="12E428E8">
        <w:t xml:space="preserve">s. This process </w:t>
      </w:r>
      <w:r w:rsidR="00D425F5">
        <w:t>is</w:t>
      </w:r>
      <w:r w:rsidRPr="12E428E8">
        <w:t xml:space="preserve"> a balanced approach to providing cost-effective solutions to environmental regulations </w:t>
      </w:r>
      <w:r w:rsidR="00A15562">
        <w:t xml:space="preserve">on behalf of </w:t>
      </w:r>
      <w:r w:rsidRPr="12E428E8">
        <w:t>customers.</w:t>
      </w:r>
    </w:p>
    <w:p w14:paraId="1D34AEE9" w14:textId="43502132" w:rsidR="00FD1A69" w:rsidRPr="00A00119" w:rsidRDefault="00FD1A69" w:rsidP="00550481">
      <w:pPr>
        <w:rPr>
          <w:szCs w:val="24"/>
        </w:rPr>
      </w:pPr>
      <w:r w:rsidRPr="00DB7156">
        <w:rPr>
          <w:szCs w:val="24"/>
        </w:rPr>
        <w:t xml:space="preserve">The uncertainty surrounding the legislative and regulatory environment reinforces the need for a flexible, robust compliance </w:t>
      </w:r>
      <w:r>
        <w:rPr>
          <w:szCs w:val="24"/>
        </w:rPr>
        <w:t>strategy</w:t>
      </w:r>
      <w:r w:rsidRPr="00DB7156">
        <w:rPr>
          <w:szCs w:val="24"/>
        </w:rPr>
        <w:t xml:space="preserve">. Accordingly, the </w:t>
      </w:r>
      <w:r w:rsidR="004C5D6C">
        <w:rPr>
          <w:szCs w:val="24"/>
        </w:rPr>
        <w:t>Company’s ECS</w:t>
      </w:r>
      <w:r w:rsidRPr="00DB7156">
        <w:rPr>
          <w:szCs w:val="24"/>
        </w:rPr>
        <w:t xml:space="preserve"> balances the need to make decisions on certain timelines</w:t>
      </w:r>
      <w:r w:rsidR="00C916AF">
        <w:rPr>
          <w:szCs w:val="24"/>
        </w:rPr>
        <w:t xml:space="preserve">, considering factors </w:t>
      </w:r>
      <w:r w:rsidRPr="00DB7156">
        <w:rPr>
          <w:szCs w:val="24"/>
        </w:rPr>
        <w:t xml:space="preserve">such as </w:t>
      </w:r>
      <w:r w:rsidR="00C916AF">
        <w:rPr>
          <w:szCs w:val="24"/>
        </w:rPr>
        <w:t xml:space="preserve">the lead time required for </w:t>
      </w:r>
      <w:r w:rsidRPr="00DB7156">
        <w:rPr>
          <w:szCs w:val="24"/>
        </w:rPr>
        <w:t>fuel and equipment purchases</w:t>
      </w:r>
      <w:r w:rsidR="004E4D78">
        <w:rPr>
          <w:szCs w:val="24"/>
        </w:rPr>
        <w:t>,</w:t>
      </w:r>
      <w:r w:rsidRPr="00DB7156">
        <w:rPr>
          <w:szCs w:val="24"/>
        </w:rPr>
        <w:t xml:space="preserve"> with the need for more information relative to regulatory</w:t>
      </w:r>
      <w:r w:rsidRPr="3C983EF4">
        <w:rPr>
          <w:szCs w:val="24"/>
        </w:rPr>
        <w:t>, reliability,</w:t>
      </w:r>
      <w:r w:rsidRPr="00DB7156">
        <w:rPr>
          <w:szCs w:val="24"/>
        </w:rPr>
        <w:t xml:space="preserve"> and economic drivers. The analysis will be updated to determine the most cost-effective compliance decisions while maintaining future flexibility </w:t>
      </w:r>
      <w:r w:rsidRPr="3C983EF4">
        <w:rPr>
          <w:szCs w:val="24"/>
        </w:rPr>
        <w:t>and preserving system reliability</w:t>
      </w:r>
      <w:r w:rsidRPr="3C983EF4" w:rsidDel="08D3D514">
        <w:rPr>
          <w:szCs w:val="24"/>
        </w:rPr>
        <w:t xml:space="preserve"> </w:t>
      </w:r>
      <w:r w:rsidRPr="3C983EF4">
        <w:rPr>
          <w:szCs w:val="24"/>
        </w:rPr>
        <w:t>in the strategy.</w:t>
      </w:r>
      <w:r w:rsidRPr="00DB7156">
        <w:rPr>
          <w:szCs w:val="24"/>
        </w:rPr>
        <w:t xml:space="preserve"> </w:t>
      </w:r>
    </w:p>
    <w:p w14:paraId="1B3F77F1" w14:textId="5398DDCD" w:rsidR="003D6FAD" w:rsidRPr="000C798F" w:rsidRDefault="00BB136F" w:rsidP="003C508C">
      <w:pPr>
        <w:pStyle w:val="Heading2"/>
      </w:pPr>
      <w:bookmarkStart w:id="7" w:name="_Toc94197864"/>
      <w:bookmarkStart w:id="8" w:name="_Toc188252314"/>
      <w:r w:rsidRPr="000C798F">
        <w:t>1</w:t>
      </w:r>
      <w:r w:rsidR="003D6FAD" w:rsidRPr="000C798F">
        <w:t>.2 Strategy Assumptions</w:t>
      </w:r>
      <w:bookmarkEnd w:id="7"/>
      <w:bookmarkEnd w:id="8"/>
    </w:p>
    <w:p w14:paraId="7A296A6F" w14:textId="290B351A" w:rsidR="00DD126D" w:rsidRPr="00AF3FFA" w:rsidRDefault="008D23D4" w:rsidP="000F14DE">
      <w:pPr>
        <w:rPr>
          <w:rFonts w:cstheme="minorHAnsi"/>
          <w:b/>
          <w:bCs/>
        </w:rPr>
      </w:pPr>
      <w:r>
        <w:t>As a result of the ECS process, t</w:t>
      </w:r>
      <w:r w:rsidR="00FD428D" w:rsidRPr="009C796C">
        <w:t xml:space="preserve">he ten-year outlook for </w:t>
      </w:r>
      <w:r w:rsidR="00023688">
        <w:t>ECS</w:t>
      </w:r>
      <w:r w:rsidR="00FD428D" w:rsidRPr="009C796C">
        <w:t xml:space="preserve"> projects </w:t>
      </w:r>
      <w:r w:rsidR="00A336A9">
        <w:t xml:space="preserve">for </w:t>
      </w:r>
      <w:r w:rsidR="00B815EA">
        <w:t xml:space="preserve">operational generating units </w:t>
      </w:r>
      <w:r w:rsidR="00C266CB">
        <w:t>is</w:t>
      </w:r>
      <w:r w:rsidR="00C266CB" w:rsidRPr="009C796C">
        <w:t xml:space="preserve"> </w:t>
      </w:r>
      <w:r w:rsidR="00BB136F">
        <w:t>summarized</w:t>
      </w:r>
      <w:r w:rsidR="00FD428D" w:rsidRPr="009C796C">
        <w:t xml:space="preserve"> </w:t>
      </w:r>
      <w:r w:rsidR="002444D1">
        <w:t xml:space="preserve">in </w:t>
      </w:r>
      <w:r w:rsidR="00AF3FFA">
        <w:rPr>
          <w:b/>
          <w:bCs/>
        </w:rPr>
        <w:t xml:space="preserve">Figure 2. </w:t>
      </w:r>
      <w:r w:rsidR="00BB136F">
        <w:t>Details on the compliance requirements that drove this strategy</w:t>
      </w:r>
      <w:r w:rsidR="007A6A6D">
        <w:t>, along with information on existing controls that continue to operate to maintain compliance,</w:t>
      </w:r>
      <w:r w:rsidR="008B7540">
        <w:t xml:space="preserve"> are provided in Section 2.</w:t>
      </w:r>
      <w:r w:rsidR="00DD126D">
        <w:t xml:space="preserve"> </w:t>
      </w:r>
      <w:r w:rsidR="002445A3">
        <w:t xml:space="preserve">Environmental compliance requirements covered by </w:t>
      </w:r>
      <w:r w:rsidR="00AB6EFB">
        <w:t>AROs</w:t>
      </w:r>
      <w:r w:rsidR="002445A3">
        <w:t xml:space="preserve">, including </w:t>
      </w:r>
      <w:r w:rsidR="00F56F41">
        <w:t>a</w:t>
      </w:r>
      <w:r w:rsidR="001D6050">
        <w:t>sh pond and landfill closure</w:t>
      </w:r>
      <w:r w:rsidR="002445A3">
        <w:t xml:space="preserve">s </w:t>
      </w:r>
      <w:r w:rsidR="001D6050">
        <w:t>are summarized</w:t>
      </w:r>
      <w:r w:rsidR="001D6050" w:rsidRPr="006E0F22">
        <w:t xml:space="preserve"> in</w:t>
      </w:r>
      <w:r w:rsidR="00AF3FFA">
        <w:t xml:space="preserve"> </w:t>
      </w:r>
      <w:r w:rsidR="00AF3FFA" w:rsidRPr="00AF3FFA">
        <w:rPr>
          <w:b/>
          <w:bCs/>
        </w:rPr>
        <w:t>Table</w:t>
      </w:r>
      <w:r w:rsidR="007C14B7">
        <w:rPr>
          <w:b/>
          <w:bCs/>
        </w:rPr>
        <w:t xml:space="preserve"> </w:t>
      </w:r>
      <w:r w:rsidR="00AF3FFA" w:rsidRPr="00AF3FFA">
        <w:rPr>
          <w:b/>
          <w:bCs/>
        </w:rPr>
        <w:t>1</w:t>
      </w:r>
      <w:r w:rsidR="00AF3FFA">
        <w:t xml:space="preserve"> and </w:t>
      </w:r>
      <w:r w:rsidR="00AF3FFA" w:rsidRPr="00AF3FFA">
        <w:rPr>
          <w:b/>
          <w:bCs/>
        </w:rPr>
        <w:t>Table 2</w:t>
      </w:r>
      <w:r w:rsidR="001D6050" w:rsidRPr="006E0F22">
        <w:t>.</w:t>
      </w:r>
      <w:r w:rsidR="001D6050">
        <w:t xml:space="preserve"> </w:t>
      </w:r>
      <w:r w:rsidR="002445A3">
        <w:t>For these projects, estimated</w:t>
      </w:r>
      <w:r w:rsidR="00DD126D" w:rsidRPr="003D640E">
        <w:t xml:space="preserve"> closure construction timeframes vary by location and are site-specific. </w:t>
      </w:r>
      <w:r w:rsidR="00DD126D">
        <w:t xml:space="preserve">Estimated ash pond timeframes </w:t>
      </w:r>
      <w:r w:rsidR="00DD126D" w:rsidRPr="003D640E">
        <w:t xml:space="preserve">can be influenced by numerous factors, including, but not limited to, state and federal regulatory actions and rule amendments, legislative action, necessary scope changes, weather, final ash quantities, beneficial use market trends, contractor productivity, and other market and external factors. </w:t>
      </w:r>
      <w:r w:rsidR="00DD126D">
        <w:t>Factors that affect landfill estimated timeframes</w:t>
      </w:r>
      <w:r w:rsidR="00F85804">
        <w:t xml:space="preserve"> in Table 2</w:t>
      </w:r>
      <w:r w:rsidR="00DD126D">
        <w:t xml:space="preserve"> include </w:t>
      </w:r>
      <w:r w:rsidR="00DD126D" w:rsidRPr="003D640E">
        <w:t>status of plant operations, unit capacity factors, available landfill capacity, and whether the landfill is designated to support ash pond closure activities. Landfill closure dates at coal generating plants are significantly influenced by generation output and how much operational ash is sold for beneficial use and not disposed of in the onsite landfill.</w:t>
      </w:r>
      <w:r w:rsidR="00DD126D">
        <w:t xml:space="preserve"> </w:t>
      </w:r>
      <w:r w:rsidR="00DD126D" w:rsidRPr="003D640E">
        <w:t>Estimated closure completion timelines are indicative of aggressive targets</w:t>
      </w:r>
      <w:r w:rsidR="00670D58">
        <w:t>,</w:t>
      </w:r>
      <w:r w:rsidR="00DD126D" w:rsidRPr="003D640E">
        <w:t xml:space="preserve"> and future risks or opportunities could cause these estimated timeframes to shift.</w:t>
      </w:r>
      <w:r w:rsidR="00DD126D">
        <w:t xml:space="preserve"> </w:t>
      </w:r>
      <w:r w:rsidR="00DD126D" w:rsidRPr="003D640E">
        <w:t xml:space="preserve">The Company will continue to update project schedules as each project progresses. </w:t>
      </w:r>
    </w:p>
    <w:p w14:paraId="73087309" w14:textId="77777777" w:rsidR="00C908E8" w:rsidRDefault="00C908E8">
      <w:pPr>
        <w:jc w:val="left"/>
        <w:rPr>
          <w:rFonts w:cstheme="minorHAnsi"/>
          <w:b/>
          <w:bCs/>
          <w:sz w:val="20"/>
          <w:szCs w:val="20"/>
        </w:rPr>
      </w:pPr>
      <w:bookmarkStart w:id="9" w:name="_Ref129870988"/>
      <w:r>
        <w:rPr>
          <w:rFonts w:cstheme="minorHAnsi"/>
          <w:b/>
          <w:bCs/>
          <w:sz w:val="20"/>
          <w:szCs w:val="20"/>
        </w:rPr>
        <w:br w:type="page"/>
      </w:r>
    </w:p>
    <w:p w14:paraId="6BEF41F2" w14:textId="63CAB82D" w:rsidR="002E30BC" w:rsidRDefault="002E30BC" w:rsidP="002E30BC">
      <w:pPr>
        <w:spacing w:after="0" w:line="240" w:lineRule="auto"/>
        <w:jc w:val="center"/>
        <w:rPr>
          <w:rFonts w:cstheme="minorHAnsi"/>
          <w:b/>
          <w:bCs/>
          <w:sz w:val="20"/>
          <w:szCs w:val="20"/>
        </w:rPr>
      </w:pPr>
      <w:r w:rsidRPr="00E3123C">
        <w:rPr>
          <w:rFonts w:cstheme="minorHAnsi"/>
          <w:b/>
          <w:bCs/>
          <w:sz w:val="20"/>
          <w:szCs w:val="20"/>
        </w:rPr>
        <w:lastRenderedPageBreak/>
        <w:t xml:space="preserve">Figure </w:t>
      </w:r>
      <w:r w:rsidRPr="00E3123C">
        <w:rPr>
          <w:rFonts w:cstheme="minorHAnsi"/>
          <w:b/>
          <w:bCs/>
          <w:sz w:val="20"/>
          <w:szCs w:val="20"/>
        </w:rPr>
        <w:fldChar w:fldCharType="begin"/>
      </w:r>
      <w:r w:rsidRPr="00E3123C">
        <w:rPr>
          <w:rFonts w:cstheme="minorHAnsi"/>
          <w:b/>
          <w:bCs/>
          <w:sz w:val="20"/>
          <w:szCs w:val="20"/>
        </w:rPr>
        <w:instrText xml:space="preserve"> SEQ Figure \* ARABIC \* MERGEFORMAT </w:instrText>
      </w:r>
      <w:r w:rsidRPr="00E3123C">
        <w:rPr>
          <w:rFonts w:cstheme="minorHAnsi"/>
          <w:b/>
          <w:bCs/>
          <w:sz w:val="20"/>
          <w:szCs w:val="20"/>
        </w:rPr>
        <w:fldChar w:fldCharType="separate"/>
      </w:r>
      <w:r>
        <w:rPr>
          <w:rFonts w:cstheme="minorHAnsi"/>
          <w:b/>
          <w:bCs/>
          <w:noProof/>
          <w:sz w:val="20"/>
          <w:szCs w:val="20"/>
        </w:rPr>
        <w:t>2</w:t>
      </w:r>
      <w:r w:rsidRPr="00E3123C">
        <w:rPr>
          <w:rFonts w:cstheme="minorHAnsi"/>
          <w:b/>
          <w:bCs/>
          <w:sz w:val="20"/>
          <w:szCs w:val="20"/>
        </w:rPr>
        <w:fldChar w:fldCharType="end"/>
      </w:r>
      <w:r>
        <w:rPr>
          <w:rFonts w:cstheme="minorHAnsi"/>
          <w:b/>
          <w:bCs/>
          <w:sz w:val="20"/>
          <w:szCs w:val="20"/>
        </w:rPr>
        <w:t>.</w:t>
      </w:r>
      <w:r w:rsidRPr="00E3123C">
        <w:rPr>
          <w:rFonts w:cstheme="minorHAnsi"/>
          <w:b/>
          <w:bCs/>
          <w:sz w:val="20"/>
          <w:szCs w:val="20"/>
        </w:rPr>
        <w:t xml:space="preserve"> Georgia Power 10-year Environmental Compliance Strategy Schedule</w:t>
      </w:r>
    </w:p>
    <w:p w14:paraId="370BEEF1" w14:textId="04D3CFAF" w:rsidR="00341A80" w:rsidRDefault="0005007D" w:rsidP="00ED5B30">
      <w:pPr>
        <w:spacing w:after="0" w:line="240" w:lineRule="auto"/>
        <w:jc w:val="center"/>
        <w:rPr>
          <w:rFonts w:cstheme="minorHAnsi"/>
          <w:b/>
          <w:bCs/>
          <w:sz w:val="20"/>
          <w:szCs w:val="20"/>
        </w:rPr>
      </w:pPr>
      <w:r w:rsidRPr="0005007D">
        <w:rPr>
          <w:rFonts w:cstheme="minorHAnsi"/>
          <w:b/>
          <w:bCs/>
          <w:noProof/>
          <w:sz w:val="20"/>
          <w:szCs w:val="20"/>
        </w:rPr>
        <w:drawing>
          <wp:inline distT="0" distB="0" distL="0" distR="0" wp14:anchorId="6719D354" wp14:editId="4F229CD7">
            <wp:extent cx="6021858" cy="4560517"/>
            <wp:effectExtent l="0" t="0" r="0" b="0"/>
            <wp:docPr id="1004508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08758"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6021858" cy="4560517"/>
                    </a:xfrm>
                    <a:prstGeom prst="rect">
                      <a:avLst/>
                    </a:prstGeom>
                  </pic:spPr>
                </pic:pic>
              </a:graphicData>
            </a:graphic>
          </wp:inline>
        </w:drawing>
      </w:r>
      <w:bookmarkStart w:id="10" w:name="_Ref130484152"/>
      <w:bookmarkEnd w:id="9"/>
    </w:p>
    <w:p w14:paraId="20DB6EDF" w14:textId="1C3532AA" w:rsidR="00F73D6D" w:rsidRDefault="006E28FB" w:rsidP="00ED5B30">
      <w:pPr>
        <w:spacing w:after="0" w:line="276" w:lineRule="auto"/>
        <w:jc w:val="center"/>
        <w:rPr>
          <w:rFonts w:cstheme="minorHAnsi"/>
          <w:b/>
          <w:bCs/>
          <w:sz w:val="20"/>
          <w:szCs w:val="20"/>
        </w:rPr>
      </w:pPr>
      <w:r>
        <w:rPr>
          <w:rFonts w:cstheme="minorHAnsi"/>
          <w:b/>
          <w:bCs/>
          <w:sz w:val="20"/>
          <w:szCs w:val="20"/>
        </w:rPr>
        <w:br w:type="page"/>
      </w:r>
      <w:r w:rsidR="00F73D6D" w:rsidRPr="00F73D6D">
        <w:rPr>
          <w:rFonts w:cstheme="minorHAnsi"/>
          <w:b/>
          <w:bCs/>
          <w:sz w:val="20"/>
          <w:szCs w:val="20"/>
        </w:rPr>
        <w:lastRenderedPageBreak/>
        <w:t xml:space="preserve">Table </w:t>
      </w:r>
      <w:r w:rsidR="00F73D6D" w:rsidRPr="00F73D6D">
        <w:rPr>
          <w:rFonts w:cstheme="minorHAnsi"/>
          <w:b/>
          <w:bCs/>
          <w:sz w:val="20"/>
          <w:szCs w:val="20"/>
        </w:rPr>
        <w:fldChar w:fldCharType="begin"/>
      </w:r>
      <w:r w:rsidR="00F73D6D" w:rsidRPr="00F73D6D">
        <w:rPr>
          <w:rFonts w:cstheme="minorHAnsi"/>
          <w:b/>
          <w:bCs/>
          <w:sz w:val="20"/>
          <w:szCs w:val="20"/>
        </w:rPr>
        <w:instrText>SEQ Table \* ARABIC</w:instrText>
      </w:r>
      <w:r w:rsidR="00F73D6D" w:rsidRPr="00F73D6D">
        <w:rPr>
          <w:rFonts w:cstheme="minorHAnsi"/>
          <w:b/>
          <w:bCs/>
          <w:sz w:val="20"/>
          <w:szCs w:val="20"/>
        </w:rPr>
        <w:fldChar w:fldCharType="separate"/>
      </w:r>
      <w:r w:rsidR="0043583C">
        <w:rPr>
          <w:rFonts w:cstheme="minorHAnsi"/>
          <w:b/>
          <w:bCs/>
          <w:noProof/>
          <w:sz w:val="20"/>
          <w:szCs w:val="20"/>
        </w:rPr>
        <w:t>1</w:t>
      </w:r>
      <w:r w:rsidR="00F73D6D" w:rsidRPr="00F73D6D">
        <w:rPr>
          <w:rFonts w:cstheme="minorHAnsi"/>
          <w:b/>
          <w:bCs/>
          <w:sz w:val="20"/>
          <w:szCs w:val="20"/>
        </w:rPr>
        <w:fldChar w:fldCharType="end"/>
      </w:r>
      <w:bookmarkEnd w:id="10"/>
      <w:r w:rsidR="00F73D6D" w:rsidRPr="00F73D6D">
        <w:rPr>
          <w:rFonts w:cstheme="minorHAnsi"/>
          <w:b/>
          <w:bCs/>
          <w:sz w:val="20"/>
          <w:szCs w:val="20"/>
        </w:rPr>
        <w:t>. Ash Pond Estimated Closure Construction Timeframes</w:t>
      </w:r>
    </w:p>
    <w:tbl>
      <w:tblPr>
        <w:tblW w:w="8455" w:type="dxa"/>
        <w:jc w:val="center"/>
        <w:tblLayout w:type="fixed"/>
        <w:tblCellMar>
          <w:left w:w="0" w:type="dxa"/>
          <w:right w:w="0" w:type="dxa"/>
        </w:tblCellMar>
        <w:tblLook w:val="0420" w:firstRow="1" w:lastRow="0" w:firstColumn="0" w:lastColumn="0" w:noHBand="0" w:noVBand="1"/>
      </w:tblPr>
      <w:tblGrid>
        <w:gridCol w:w="1785"/>
        <w:gridCol w:w="1360"/>
        <w:gridCol w:w="1530"/>
        <w:gridCol w:w="1530"/>
        <w:gridCol w:w="2250"/>
      </w:tblGrid>
      <w:tr w:rsidR="00D11D71" w:rsidRPr="008720F4" w14:paraId="4245BAEC" w14:textId="77777777" w:rsidTr="00BA2051">
        <w:trPr>
          <w:trHeight w:hRule="exact" w:val="942"/>
          <w:jc w:val="center"/>
        </w:trPr>
        <w:tc>
          <w:tcPr>
            <w:tcW w:w="1785" w:type="dxa"/>
            <w:tcBorders>
              <w:top w:val="single" w:sz="4" w:space="0" w:color="auto"/>
              <w:left w:val="single" w:sz="4" w:space="0" w:color="auto"/>
              <w:bottom w:val="single" w:sz="8" w:space="0" w:color="FFFFFF"/>
              <w:right w:val="single" w:sz="8" w:space="0" w:color="FFFFFF"/>
            </w:tcBorders>
            <w:shd w:val="clear" w:color="auto" w:fill="365F91"/>
            <w:tcMar>
              <w:top w:w="40" w:type="dxa"/>
              <w:left w:w="81" w:type="dxa"/>
              <w:bottom w:w="40" w:type="dxa"/>
              <w:right w:w="81" w:type="dxa"/>
            </w:tcMar>
          </w:tcPr>
          <w:p w14:paraId="6795DB8E" w14:textId="77777777" w:rsidR="00D11D71" w:rsidRPr="00BA09A3" w:rsidRDefault="00D11D71" w:rsidP="00792363">
            <w:pPr>
              <w:spacing w:before="0" w:after="0" w:line="240" w:lineRule="auto"/>
              <w:ind w:left="360"/>
              <w:rPr>
                <w:rFonts w:eastAsia="MS Mincho"/>
                <w:color w:val="000000"/>
                <w:sz w:val="20"/>
                <w:szCs w:val="20"/>
              </w:rPr>
            </w:pPr>
          </w:p>
        </w:tc>
        <w:tc>
          <w:tcPr>
            <w:tcW w:w="1360" w:type="dxa"/>
            <w:tcBorders>
              <w:top w:val="single" w:sz="4" w:space="0" w:color="auto"/>
              <w:left w:val="single" w:sz="8" w:space="0" w:color="FFFFFF"/>
              <w:bottom w:val="single" w:sz="8" w:space="0" w:color="FFFFFF"/>
              <w:right w:val="single" w:sz="8" w:space="0" w:color="FFFFFF"/>
            </w:tcBorders>
            <w:shd w:val="clear" w:color="auto" w:fill="365F91"/>
            <w:tcMar>
              <w:top w:w="15" w:type="dxa"/>
              <w:left w:w="43" w:type="dxa"/>
              <w:bottom w:w="22" w:type="dxa"/>
              <w:right w:w="43" w:type="dxa"/>
            </w:tcMar>
            <w:vAlign w:val="center"/>
          </w:tcPr>
          <w:p w14:paraId="7B14D031" w14:textId="77777777" w:rsidR="00D11D71" w:rsidRPr="00BA09A3" w:rsidRDefault="00D11D71" w:rsidP="00792363">
            <w:pPr>
              <w:spacing w:before="0" w:after="0" w:line="240" w:lineRule="auto"/>
              <w:ind w:left="26"/>
              <w:jc w:val="center"/>
              <w:rPr>
                <w:rFonts w:eastAsia="MS Mincho"/>
                <w:b/>
                <w:bCs/>
                <w:color w:val="FFFFFF"/>
                <w:sz w:val="20"/>
                <w:szCs w:val="20"/>
              </w:rPr>
            </w:pPr>
            <w:r w:rsidRPr="00BA09A3">
              <w:rPr>
                <w:rFonts w:eastAsia="MS Mincho"/>
                <w:b/>
                <w:bCs/>
                <w:color w:val="FFFFFF"/>
                <w:sz w:val="20"/>
                <w:szCs w:val="20"/>
              </w:rPr>
              <w:t>Closure by Removal</w:t>
            </w:r>
          </w:p>
        </w:tc>
        <w:tc>
          <w:tcPr>
            <w:tcW w:w="1530" w:type="dxa"/>
            <w:tcBorders>
              <w:top w:val="single" w:sz="4" w:space="0" w:color="auto"/>
              <w:left w:val="single" w:sz="8" w:space="0" w:color="FFFFFF"/>
              <w:bottom w:val="single" w:sz="8" w:space="0" w:color="FFFFFF"/>
              <w:right w:val="single" w:sz="8" w:space="0" w:color="FFFFFF"/>
            </w:tcBorders>
            <w:shd w:val="clear" w:color="auto" w:fill="365F91"/>
            <w:tcMar>
              <w:top w:w="15" w:type="dxa"/>
              <w:left w:w="43" w:type="dxa"/>
              <w:bottom w:w="22" w:type="dxa"/>
              <w:right w:w="43" w:type="dxa"/>
            </w:tcMar>
            <w:vAlign w:val="center"/>
          </w:tcPr>
          <w:p w14:paraId="6883E06F" w14:textId="77777777" w:rsidR="00D11D71" w:rsidRPr="00BA09A3" w:rsidRDefault="00D11D71" w:rsidP="00792363">
            <w:pPr>
              <w:spacing w:before="0" w:after="0" w:line="240" w:lineRule="auto"/>
              <w:ind w:left="83"/>
              <w:jc w:val="center"/>
              <w:rPr>
                <w:rFonts w:eastAsia="MS Mincho"/>
                <w:b/>
                <w:bCs/>
                <w:color w:val="FFFFFF"/>
                <w:sz w:val="20"/>
                <w:szCs w:val="20"/>
              </w:rPr>
            </w:pPr>
            <w:r w:rsidRPr="00BA09A3">
              <w:rPr>
                <w:rFonts w:eastAsia="MS Mincho"/>
                <w:b/>
                <w:bCs/>
                <w:color w:val="FFFFFF"/>
                <w:sz w:val="20"/>
                <w:szCs w:val="20"/>
              </w:rPr>
              <w:t>Closure in Place</w:t>
            </w:r>
          </w:p>
        </w:tc>
        <w:tc>
          <w:tcPr>
            <w:tcW w:w="1530" w:type="dxa"/>
            <w:tcBorders>
              <w:top w:val="single" w:sz="4" w:space="0" w:color="auto"/>
              <w:left w:val="single" w:sz="8" w:space="0" w:color="FFFFFF"/>
              <w:bottom w:val="single" w:sz="8" w:space="0" w:color="FFFFFF"/>
              <w:right w:val="single" w:sz="8" w:space="0" w:color="FFFFFF"/>
            </w:tcBorders>
            <w:shd w:val="clear" w:color="auto" w:fill="365F91"/>
            <w:tcMar>
              <w:top w:w="15" w:type="dxa"/>
              <w:left w:w="43" w:type="dxa"/>
              <w:bottom w:w="22" w:type="dxa"/>
              <w:right w:w="43" w:type="dxa"/>
            </w:tcMar>
            <w:vAlign w:val="center"/>
          </w:tcPr>
          <w:p w14:paraId="2645ED40" w14:textId="77777777" w:rsidR="00D11D71" w:rsidRPr="00BA09A3" w:rsidRDefault="00D11D71" w:rsidP="00792363">
            <w:pPr>
              <w:spacing w:before="0" w:after="0" w:line="240" w:lineRule="auto"/>
              <w:jc w:val="center"/>
              <w:rPr>
                <w:rFonts w:eastAsia="MS Mincho"/>
                <w:b/>
                <w:bCs/>
                <w:color w:val="FFFFFF"/>
                <w:sz w:val="20"/>
                <w:szCs w:val="20"/>
              </w:rPr>
            </w:pPr>
            <w:r w:rsidRPr="00BA09A3">
              <w:rPr>
                <w:rFonts w:eastAsia="MS Mincho"/>
                <w:b/>
                <w:bCs/>
                <w:color w:val="FFFFFF"/>
                <w:sz w:val="20"/>
                <w:szCs w:val="20"/>
              </w:rPr>
              <w:t>Total</w:t>
            </w:r>
          </w:p>
        </w:tc>
        <w:tc>
          <w:tcPr>
            <w:tcW w:w="2250" w:type="dxa"/>
            <w:tcBorders>
              <w:top w:val="single" w:sz="4" w:space="0" w:color="auto"/>
              <w:left w:val="single" w:sz="8" w:space="0" w:color="FFFFFF"/>
              <w:bottom w:val="single" w:sz="8" w:space="0" w:color="FFFFFF"/>
              <w:right w:val="single" w:sz="4" w:space="0" w:color="auto"/>
            </w:tcBorders>
            <w:shd w:val="clear" w:color="auto" w:fill="365F91"/>
          </w:tcPr>
          <w:p w14:paraId="63AB6B71" w14:textId="7EE65807" w:rsidR="00D11D71" w:rsidRPr="00BA09A3" w:rsidRDefault="00D11D71" w:rsidP="00792363">
            <w:pPr>
              <w:spacing w:before="0" w:after="0" w:line="240" w:lineRule="auto"/>
              <w:jc w:val="center"/>
              <w:rPr>
                <w:rFonts w:eastAsia="MS Mincho"/>
                <w:b/>
                <w:bCs/>
                <w:color w:val="FFFFFF"/>
                <w:sz w:val="20"/>
                <w:szCs w:val="20"/>
              </w:rPr>
            </w:pPr>
            <w:r w:rsidRPr="00BA09A3">
              <w:rPr>
                <w:rFonts w:eastAsia="MS Mincho"/>
                <w:b/>
                <w:bCs/>
                <w:color w:val="FFFFFF"/>
                <w:sz w:val="20"/>
                <w:szCs w:val="20"/>
              </w:rPr>
              <w:t>Estimated Closure Construction Completion</w:t>
            </w:r>
            <w:r w:rsidRPr="00BA09A3">
              <w:rPr>
                <w:rFonts w:eastAsia="MS Mincho"/>
                <w:b/>
                <w:bCs/>
                <w:color w:val="FFFFFF"/>
                <w:sz w:val="20"/>
                <w:szCs w:val="20"/>
                <w:vertAlign w:val="superscript"/>
              </w:rPr>
              <w:t>1</w:t>
            </w:r>
          </w:p>
        </w:tc>
      </w:tr>
      <w:tr w:rsidR="00D11D71" w:rsidRPr="008720F4" w14:paraId="21A12887" w14:textId="77777777" w:rsidTr="000571BA">
        <w:trPr>
          <w:trHeight w:hRule="exact" w:val="288"/>
          <w:jc w:val="center"/>
        </w:trPr>
        <w:tc>
          <w:tcPr>
            <w:tcW w:w="1785" w:type="dxa"/>
            <w:tcBorders>
              <w:top w:val="single" w:sz="8" w:space="0" w:color="FFFFFF"/>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0820C6A8"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Bowen</w:t>
            </w:r>
          </w:p>
        </w:tc>
        <w:tc>
          <w:tcPr>
            <w:tcW w:w="1360" w:type="dxa"/>
            <w:tcBorders>
              <w:top w:val="single" w:sz="8" w:space="0" w:color="FFFFFF"/>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6C71C31E"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single" w:sz="8" w:space="0" w:color="FFFFFF"/>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6357368E"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color w:val="000000"/>
                <w:sz w:val="20"/>
                <w:szCs w:val="20"/>
              </w:rPr>
              <w:t>1</w:t>
            </w:r>
          </w:p>
        </w:tc>
        <w:tc>
          <w:tcPr>
            <w:tcW w:w="1530" w:type="dxa"/>
            <w:tcBorders>
              <w:top w:val="single" w:sz="8" w:space="0" w:color="FFFFFF"/>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23D4CBB7"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1</w:t>
            </w:r>
          </w:p>
        </w:tc>
        <w:tc>
          <w:tcPr>
            <w:tcW w:w="2250" w:type="dxa"/>
            <w:tcBorders>
              <w:top w:val="single" w:sz="8" w:space="0" w:color="FFFFFF"/>
              <w:left w:val="single" w:sz="12" w:space="0" w:color="FFFFFF"/>
              <w:bottom w:val="nil"/>
              <w:right w:val="single" w:sz="4" w:space="0" w:color="auto"/>
            </w:tcBorders>
            <w:shd w:val="clear" w:color="auto" w:fill="FFFFFF"/>
            <w:vAlign w:val="center"/>
          </w:tcPr>
          <w:p w14:paraId="3597F510" w14:textId="6C3D65F2" w:rsidR="00D11D71" w:rsidRPr="00BA09A3" w:rsidRDefault="00D11D71" w:rsidP="00792363">
            <w:pPr>
              <w:spacing w:before="0" w:after="0" w:line="240" w:lineRule="auto"/>
              <w:ind w:left="18"/>
              <w:jc w:val="left"/>
              <w:rPr>
                <w:rFonts w:eastAsia="Arial"/>
                <w:sz w:val="20"/>
                <w:szCs w:val="20"/>
              </w:rPr>
            </w:pPr>
            <w:r w:rsidRPr="006D6215">
              <w:rPr>
                <w:rFonts w:eastAsia="MS Mincho"/>
                <w:b/>
                <w:color w:val="000000"/>
                <w:sz w:val="20"/>
                <w:szCs w:val="20"/>
              </w:rPr>
              <w:tab/>
              <w:t>203</w:t>
            </w:r>
            <w:r w:rsidR="005C6400" w:rsidRPr="006D6215">
              <w:rPr>
                <w:rFonts w:eastAsia="MS Mincho"/>
                <w:b/>
                <w:color w:val="000000"/>
                <w:sz w:val="20"/>
                <w:szCs w:val="20"/>
              </w:rPr>
              <w:t>6</w:t>
            </w:r>
          </w:p>
        </w:tc>
      </w:tr>
      <w:tr w:rsidR="00D11D71" w:rsidRPr="008720F4" w14:paraId="53C636B0"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3E9C81FC"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Branch</w:t>
            </w:r>
          </w:p>
        </w:tc>
        <w:tc>
          <w:tcPr>
            <w:tcW w:w="136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15336A34"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5</w:t>
            </w:r>
          </w:p>
        </w:tc>
        <w:tc>
          <w:tcPr>
            <w:tcW w:w="153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707E1592"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300E6339"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5</w:t>
            </w:r>
          </w:p>
        </w:tc>
        <w:tc>
          <w:tcPr>
            <w:tcW w:w="2250" w:type="dxa"/>
            <w:tcBorders>
              <w:top w:val="nil"/>
              <w:left w:val="single" w:sz="12" w:space="0" w:color="FFFFFF"/>
              <w:bottom w:val="nil"/>
              <w:right w:val="single" w:sz="4" w:space="0" w:color="auto"/>
            </w:tcBorders>
            <w:shd w:val="clear" w:color="auto" w:fill="E9E9E9"/>
            <w:vAlign w:val="center"/>
          </w:tcPr>
          <w:p w14:paraId="33014BD0" w14:textId="68169C41" w:rsidR="00D11D71" w:rsidRPr="00BA09A3" w:rsidRDefault="00D11D71" w:rsidP="00792363">
            <w:pPr>
              <w:spacing w:before="0" w:after="0" w:line="240" w:lineRule="auto"/>
              <w:ind w:left="18"/>
              <w:jc w:val="left"/>
              <w:rPr>
                <w:rFonts w:eastAsia="MS Mincho"/>
                <w:b/>
                <w:color w:val="000000"/>
                <w:sz w:val="20"/>
                <w:szCs w:val="20"/>
              </w:rPr>
            </w:pPr>
            <w:r w:rsidRPr="00BA09A3">
              <w:rPr>
                <w:rFonts w:eastAsia="MS Mincho"/>
                <w:b/>
                <w:color w:val="000000"/>
                <w:sz w:val="20"/>
                <w:szCs w:val="20"/>
              </w:rPr>
              <w:tab/>
              <w:t>2041</w:t>
            </w:r>
          </w:p>
        </w:tc>
      </w:tr>
      <w:tr w:rsidR="00D11D71" w:rsidRPr="008720F4" w14:paraId="1A09AA86"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762CECC1"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Hammond</w:t>
            </w:r>
          </w:p>
        </w:tc>
        <w:tc>
          <w:tcPr>
            <w:tcW w:w="136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34839AC1" w14:textId="77777777" w:rsidR="00D11D71" w:rsidRPr="00BA09A3" w:rsidRDefault="00D11D71" w:rsidP="00792363">
            <w:pPr>
              <w:spacing w:before="0" w:after="0" w:line="240" w:lineRule="auto"/>
              <w:ind w:left="-4"/>
              <w:jc w:val="center"/>
              <w:rPr>
                <w:rFonts w:eastAsia="MS Mincho"/>
                <w:color w:val="000000"/>
                <w:sz w:val="20"/>
                <w:szCs w:val="20"/>
              </w:rPr>
            </w:pPr>
            <w:r w:rsidRPr="00BA09A3">
              <w:rPr>
                <w:rFonts w:eastAsia="MS Mincho"/>
                <w:color w:val="000000"/>
                <w:sz w:val="20"/>
                <w:szCs w:val="20"/>
              </w:rPr>
              <w:t>3</w:t>
            </w:r>
          </w:p>
        </w:tc>
        <w:tc>
          <w:tcPr>
            <w:tcW w:w="153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37D4B4A8"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76236300"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4</w:t>
            </w:r>
          </w:p>
        </w:tc>
        <w:tc>
          <w:tcPr>
            <w:tcW w:w="2250" w:type="dxa"/>
            <w:tcBorders>
              <w:top w:val="nil"/>
              <w:left w:val="single" w:sz="12" w:space="0" w:color="FFFFFF"/>
              <w:bottom w:val="nil"/>
              <w:right w:val="single" w:sz="4" w:space="0" w:color="auto"/>
            </w:tcBorders>
            <w:shd w:val="clear" w:color="auto" w:fill="FFFFFF"/>
            <w:vAlign w:val="center"/>
          </w:tcPr>
          <w:p w14:paraId="4699EC43" w14:textId="3FEB15B6" w:rsidR="00D11D71" w:rsidRPr="00BA09A3" w:rsidRDefault="00D11D71" w:rsidP="00792363">
            <w:pPr>
              <w:spacing w:before="0" w:after="0" w:line="240" w:lineRule="auto"/>
              <w:ind w:left="18"/>
              <w:jc w:val="left"/>
              <w:rPr>
                <w:rFonts w:eastAsia="MS Mincho"/>
                <w:b/>
                <w:color w:val="000000"/>
                <w:sz w:val="20"/>
                <w:szCs w:val="20"/>
              </w:rPr>
            </w:pPr>
            <w:r w:rsidRPr="00BA09A3">
              <w:rPr>
                <w:rFonts w:eastAsia="MS Mincho"/>
                <w:b/>
                <w:color w:val="000000"/>
                <w:kern w:val="24"/>
                <w:sz w:val="20"/>
                <w:szCs w:val="20"/>
              </w:rPr>
              <w:tab/>
            </w:r>
            <w:r w:rsidRPr="006D6215">
              <w:rPr>
                <w:rFonts w:eastAsia="MS Mincho"/>
                <w:b/>
                <w:color w:val="000000"/>
                <w:kern w:val="24"/>
                <w:sz w:val="20"/>
                <w:szCs w:val="20"/>
              </w:rPr>
              <w:t>203</w:t>
            </w:r>
            <w:r w:rsidR="00F44D85" w:rsidRPr="006D6215">
              <w:rPr>
                <w:rFonts w:eastAsia="MS Mincho"/>
                <w:b/>
                <w:color w:val="000000"/>
                <w:kern w:val="24"/>
                <w:sz w:val="20"/>
                <w:szCs w:val="20"/>
              </w:rPr>
              <w:t>4</w:t>
            </w:r>
          </w:p>
        </w:tc>
      </w:tr>
      <w:tr w:rsidR="00D11D71" w:rsidRPr="008720F4" w14:paraId="454AF241"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7FDF8488"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Kraft</w:t>
            </w:r>
          </w:p>
        </w:tc>
        <w:tc>
          <w:tcPr>
            <w:tcW w:w="1360" w:type="dxa"/>
            <w:tcBorders>
              <w:top w:val="nil"/>
              <w:left w:val="single" w:sz="12" w:space="0" w:color="FFFFFF"/>
              <w:bottom w:val="nil"/>
              <w:right w:val="single" w:sz="12" w:space="0" w:color="FFFFFF"/>
            </w:tcBorders>
            <w:shd w:val="clear" w:color="auto" w:fill="EAEAEA"/>
            <w:tcMar>
              <w:top w:w="22" w:type="dxa"/>
              <w:left w:w="81" w:type="dxa"/>
              <w:bottom w:w="22" w:type="dxa"/>
              <w:right w:w="81" w:type="dxa"/>
            </w:tcMar>
            <w:vAlign w:val="center"/>
            <w:hideMark/>
          </w:tcPr>
          <w:p w14:paraId="3CEC5BE7"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12" w:space="0" w:color="FFFFFF"/>
            </w:tcBorders>
            <w:shd w:val="clear" w:color="auto" w:fill="EAEAEA"/>
            <w:tcMar>
              <w:top w:w="22" w:type="dxa"/>
              <w:left w:w="81" w:type="dxa"/>
              <w:bottom w:w="22" w:type="dxa"/>
              <w:right w:w="81" w:type="dxa"/>
            </w:tcMar>
            <w:vAlign w:val="center"/>
            <w:hideMark/>
          </w:tcPr>
          <w:p w14:paraId="528E888E"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nil"/>
              <w:left w:val="single" w:sz="12" w:space="0" w:color="FFFFFF"/>
              <w:bottom w:val="nil"/>
              <w:right w:val="single" w:sz="4" w:space="0" w:color="auto"/>
            </w:tcBorders>
            <w:shd w:val="clear" w:color="auto" w:fill="EAEAEA"/>
            <w:tcMar>
              <w:top w:w="22" w:type="dxa"/>
              <w:left w:w="81" w:type="dxa"/>
              <w:bottom w:w="22" w:type="dxa"/>
              <w:right w:w="81" w:type="dxa"/>
            </w:tcMar>
            <w:vAlign w:val="center"/>
            <w:hideMark/>
          </w:tcPr>
          <w:p w14:paraId="41198F0B"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1</w:t>
            </w:r>
          </w:p>
        </w:tc>
        <w:tc>
          <w:tcPr>
            <w:tcW w:w="2250" w:type="dxa"/>
            <w:tcBorders>
              <w:top w:val="nil"/>
              <w:left w:val="single" w:sz="12" w:space="0" w:color="FFFFFF"/>
              <w:bottom w:val="nil"/>
              <w:right w:val="single" w:sz="4" w:space="0" w:color="auto"/>
            </w:tcBorders>
            <w:shd w:val="clear" w:color="auto" w:fill="EAEAEA"/>
            <w:vAlign w:val="center"/>
          </w:tcPr>
          <w:p w14:paraId="0C918293" w14:textId="77777777" w:rsidR="00D11D71" w:rsidRPr="00BA09A3" w:rsidRDefault="00D11D71" w:rsidP="00792363">
            <w:pPr>
              <w:spacing w:before="0" w:after="0" w:line="240" w:lineRule="auto"/>
              <w:ind w:left="18"/>
              <w:jc w:val="left"/>
              <w:rPr>
                <w:rFonts w:eastAsia="Arial"/>
                <w:sz w:val="20"/>
                <w:szCs w:val="20"/>
              </w:rPr>
            </w:pPr>
            <w:r w:rsidRPr="00BA09A3">
              <w:rPr>
                <w:rFonts w:eastAsia="MS Mincho"/>
                <w:b/>
                <w:color w:val="000000"/>
                <w:sz w:val="20"/>
                <w:szCs w:val="20"/>
              </w:rPr>
              <w:tab/>
              <w:t>2016</w:t>
            </w:r>
            <w:r w:rsidRPr="00BA09A3">
              <w:rPr>
                <w:rFonts w:eastAsia="MS Mincho"/>
                <w:b/>
                <w:color w:val="000000"/>
                <w:sz w:val="20"/>
                <w:szCs w:val="20"/>
                <w:vertAlign w:val="superscript"/>
              </w:rPr>
              <w:t xml:space="preserve"> A</w:t>
            </w:r>
          </w:p>
        </w:tc>
      </w:tr>
      <w:tr w:rsidR="00D11D71" w:rsidRPr="008720F4" w14:paraId="082A7CD1"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673C91EF"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McDonough</w:t>
            </w:r>
          </w:p>
        </w:tc>
        <w:tc>
          <w:tcPr>
            <w:tcW w:w="136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19B7745D"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2DF7D4E6"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color w:val="000000"/>
                <w:sz w:val="20"/>
                <w:szCs w:val="20"/>
              </w:rPr>
              <w:t>3</w:t>
            </w:r>
          </w:p>
        </w:tc>
        <w:tc>
          <w:tcPr>
            <w:tcW w:w="1530"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17AF4F7A"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color w:val="000000"/>
                <w:sz w:val="20"/>
                <w:szCs w:val="20"/>
              </w:rPr>
              <w:t>4</w:t>
            </w:r>
          </w:p>
        </w:tc>
        <w:tc>
          <w:tcPr>
            <w:tcW w:w="2250" w:type="dxa"/>
            <w:tcBorders>
              <w:top w:val="nil"/>
              <w:left w:val="single" w:sz="12" w:space="0" w:color="FFFFFF"/>
              <w:bottom w:val="nil"/>
              <w:right w:val="single" w:sz="4" w:space="0" w:color="auto"/>
            </w:tcBorders>
            <w:shd w:val="clear" w:color="auto" w:fill="FFFFFF"/>
            <w:vAlign w:val="center"/>
          </w:tcPr>
          <w:p w14:paraId="3B88BF95" w14:textId="4FE82DBA" w:rsidR="00D11D71" w:rsidRPr="00BA09A3" w:rsidRDefault="00D11D71" w:rsidP="00792363">
            <w:pPr>
              <w:spacing w:before="0" w:after="0" w:line="240" w:lineRule="auto"/>
              <w:ind w:left="18"/>
              <w:jc w:val="left"/>
              <w:rPr>
                <w:rFonts w:eastAsia="MS Mincho"/>
                <w:b/>
                <w:color w:val="000000"/>
                <w:sz w:val="20"/>
                <w:szCs w:val="20"/>
              </w:rPr>
            </w:pPr>
            <w:r w:rsidRPr="006D6215">
              <w:rPr>
                <w:rFonts w:eastAsia="MS Mincho"/>
                <w:b/>
                <w:color w:val="000000"/>
                <w:kern w:val="24"/>
                <w:sz w:val="20"/>
                <w:szCs w:val="20"/>
              </w:rPr>
              <w:tab/>
              <w:t>202</w:t>
            </w:r>
            <w:r w:rsidR="00C471AA" w:rsidRPr="006D6215">
              <w:rPr>
                <w:rFonts w:eastAsia="MS Mincho"/>
                <w:b/>
                <w:color w:val="000000"/>
                <w:kern w:val="24"/>
                <w:sz w:val="20"/>
                <w:szCs w:val="20"/>
              </w:rPr>
              <w:t>6</w:t>
            </w:r>
          </w:p>
        </w:tc>
      </w:tr>
      <w:tr w:rsidR="00D11D71" w:rsidRPr="008720F4" w14:paraId="29CEC6EB"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61030E8D"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McIntosh</w:t>
            </w:r>
          </w:p>
        </w:tc>
        <w:tc>
          <w:tcPr>
            <w:tcW w:w="136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4D523301"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657B89E6"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4F6622E8"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1</w:t>
            </w:r>
          </w:p>
        </w:tc>
        <w:tc>
          <w:tcPr>
            <w:tcW w:w="2250" w:type="dxa"/>
            <w:tcBorders>
              <w:top w:val="nil"/>
              <w:left w:val="single" w:sz="12" w:space="0" w:color="FFFFFF"/>
              <w:bottom w:val="nil"/>
              <w:right w:val="single" w:sz="4" w:space="0" w:color="auto"/>
            </w:tcBorders>
            <w:shd w:val="clear" w:color="auto" w:fill="E9E9E9"/>
            <w:vAlign w:val="center"/>
          </w:tcPr>
          <w:p w14:paraId="1C55FCC5" w14:textId="59DB9079" w:rsidR="00D11D71" w:rsidRPr="00BA09A3" w:rsidRDefault="00D11D71" w:rsidP="00792363">
            <w:pPr>
              <w:spacing w:before="0" w:after="0" w:line="240" w:lineRule="auto"/>
              <w:ind w:left="18"/>
              <w:jc w:val="left"/>
              <w:rPr>
                <w:rFonts w:eastAsia="MS Mincho"/>
                <w:b/>
                <w:color w:val="000000"/>
                <w:sz w:val="20"/>
                <w:szCs w:val="20"/>
              </w:rPr>
            </w:pPr>
            <w:r w:rsidRPr="00BA09A3">
              <w:rPr>
                <w:rFonts w:eastAsia="MS Mincho"/>
                <w:b/>
                <w:color w:val="000000"/>
                <w:kern w:val="24"/>
                <w:sz w:val="20"/>
                <w:szCs w:val="20"/>
              </w:rPr>
              <w:tab/>
            </w:r>
            <w:r w:rsidRPr="00350A26">
              <w:rPr>
                <w:rFonts w:eastAsia="MS Mincho"/>
                <w:b/>
                <w:color w:val="000000"/>
                <w:kern w:val="24"/>
                <w:sz w:val="20"/>
                <w:szCs w:val="20"/>
              </w:rPr>
              <w:t>2022</w:t>
            </w:r>
            <w:r w:rsidRPr="00350A26">
              <w:rPr>
                <w:rFonts w:eastAsia="MS Mincho"/>
                <w:b/>
                <w:color w:val="000000"/>
                <w:sz w:val="20"/>
                <w:szCs w:val="20"/>
                <w:vertAlign w:val="superscript"/>
              </w:rPr>
              <w:t xml:space="preserve"> A</w:t>
            </w:r>
          </w:p>
        </w:tc>
      </w:tr>
      <w:tr w:rsidR="00D11D71" w:rsidRPr="008720F4" w14:paraId="6F795A53"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7CB1E56E"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McManus</w:t>
            </w:r>
          </w:p>
        </w:tc>
        <w:tc>
          <w:tcPr>
            <w:tcW w:w="136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4FBBB8C7"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6FAC8208"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480561A5"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1</w:t>
            </w:r>
          </w:p>
        </w:tc>
        <w:tc>
          <w:tcPr>
            <w:tcW w:w="2250" w:type="dxa"/>
            <w:tcBorders>
              <w:top w:val="nil"/>
              <w:left w:val="single" w:sz="12" w:space="0" w:color="FFFFFF"/>
              <w:bottom w:val="nil"/>
              <w:right w:val="single" w:sz="4" w:space="0" w:color="auto"/>
            </w:tcBorders>
            <w:shd w:val="clear" w:color="auto" w:fill="FFFFFF"/>
            <w:vAlign w:val="center"/>
          </w:tcPr>
          <w:p w14:paraId="117FD0C9" w14:textId="579BA9B2" w:rsidR="00D11D71" w:rsidRPr="00BA09A3" w:rsidRDefault="00D11D71" w:rsidP="00792363">
            <w:pPr>
              <w:spacing w:before="0" w:after="0" w:line="240" w:lineRule="auto"/>
              <w:ind w:left="18"/>
              <w:jc w:val="left"/>
              <w:rPr>
                <w:rFonts w:eastAsia="MS Mincho"/>
                <w:b/>
                <w:color w:val="000000"/>
                <w:sz w:val="20"/>
                <w:szCs w:val="20"/>
              </w:rPr>
            </w:pPr>
            <w:r w:rsidRPr="00BA09A3">
              <w:rPr>
                <w:rFonts w:eastAsia="MS Mincho"/>
                <w:b/>
                <w:color w:val="000000"/>
                <w:sz w:val="20"/>
                <w:szCs w:val="20"/>
              </w:rPr>
              <w:tab/>
            </w:r>
            <w:r w:rsidRPr="009E19BF">
              <w:rPr>
                <w:rFonts w:eastAsia="MS Mincho"/>
                <w:b/>
                <w:color w:val="000000"/>
                <w:sz w:val="20"/>
                <w:szCs w:val="20"/>
              </w:rPr>
              <w:t>2020</w:t>
            </w:r>
            <w:r w:rsidRPr="009E19BF">
              <w:rPr>
                <w:rFonts w:eastAsia="MS Mincho"/>
                <w:b/>
                <w:color w:val="000000"/>
                <w:sz w:val="20"/>
                <w:szCs w:val="20"/>
                <w:vertAlign w:val="superscript"/>
              </w:rPr>
              <w:t xml:space="preserve"> A</w:t>
            </w:r>
          </w:p>
        </w:tc>
      </w:tr>
      <w:tr w:rsidR="00D11D71" w:rsidRPr="008720F4" w14:paraId="2D7ADD2F"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1D8B21E8"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Mitchell</w:t>
            </w:r>
          </w:p>
        </w:tc>
        <w:tc>
          <w:tcPr>
            <w:tcW w:w="136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7DA08F94"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3</w:t>
            </w:r>
          </w:p>
        </w:tc>
        <w:tc>
          <w:tcPr>
            <w:tcW w:w="153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13B119DA"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0C39880E"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b/>
                <w:bCs/>
                <w:color w:val="000000"/>
                <w:sz w:val="20"/>
                <w:szCs w:val="20"/>
              </w:rPr>
              <w:t>3</w:t>
            </w:r>
          </w:p>
        </w:tc>
        <w:tc>
          <w:tcPr>
            <w:tcW w:w="2250" w:type="dxa"/>
            <w:tcBorders>
              <w:top w:val="nil"/>
              <w:left w:val="single" w:sz="12" w:space="0" w:color="FFFFFF"/>
              <w:bottom w:val="nil"/>
              <w:right w:val="single" w:sz="4" w:space="0" w:color="auto"/>
            </w:tcBorders>
            <w:shd w:val="clear" w:color="auto" w:fill="E9E9E9"/>
            <w:vAlign w:val="center"/>
          </w:tcPr>
          <w:p w14:paraId="16253BFC" w14:textId="3982659D" w:rsidR="00D11D71" w:rsidRPr="00BA09A3" w:rsidRDefault="00D11D71" w:rsidP="00792363">
            <w:pPr>
              <w:spacing w:before="0" w:after="0" w:line="240" w:lineRule="auto"/>
              <w:jc w:val="left"/>
              <w:rPr>
                <w:rFonts w:eastAsia="MS Mincho"/>
                <w:b/>
                <w:color w:val="000000"/>
                <w:sz w:val="20"/>
                <w:szCs w:val="20"/>
              </w:rPr>
            </w:pPr>
            <w:r w:rsidRPr="006D6215">
              <w:rPr>
                <w:rFonts w:eastAsia="MS Mincho"/>
                <w:b/>
                <w:color w:val="000000"/>
                <w:kern w:val="24"/>
                <w:sz w:val="20"/>
                <w:szCs w:val="20"/>
              </w:rPr>
              <w:tab/>
              <w:t>20</w:t>
            </w:r>
            <w:r w:rsidR="00253FDD" w:rsidRPr="006D6215">
              <w:rPr>
                <w:rFonts w:eastAsia="MS Mincho"/>
                <w:b/>
                <w:color w:val="000000"/>
                <w:kern w:val="24"/>
                <w:sz w:val="20"/>
                <w:szCs w:val="20"/>
              </w:rPr>
              <w:t>28</w:t>
            </w:r>
          </w:p>
        </w:tc>
      </w:tr>
      <w:tr w:rsidR="00D11D71" w:rsidRPr="008720F4" w14:paraId="0545CC9C"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5D84151C"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Scherer</w:t>
            </w:r>
          </w:p>
        </w:tc>
        <w:tc>
          <w:tcPr>
            <w:tcW w:w="136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2F2AC67D" w14:textId="77777777" w:rsidR="00D11D71" w:rsidRPr="00BA09A3" w:rsidRDefault="00D11D71" w:rsidP="00792363">
            <w:pPr>
              <w:spacing w:before="0" w:after="0" w:line="240" w:lineRule="auto"/>
              <w:ind w:left="360"/>
              <w:jc w:val="center"/>
              <w:rPr>
                <w:rFonts w:eastAsia="MS Mincho"/>
                <w:color w:val="000000"/>
                <w:sz w:val="20"/>
                <w:szCs w:val="20"/>
              </w:rPr>
            </w:pPr>
          </w:p>
        </w:tc>
        <w:tc>
          <w:tcPr>
            <w:tcW w:w="1530"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170D71CB"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79D33E0D"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b/>
                <w:bCs/>
                <w:color w:val="000000"/>
                <w:sz w:val="20"/>
                <w:szCs w:val="20"/>
              </w:rPr>
              <w:t>1</w:t>
            </w:r>
          </w:p>
        </w:tc>
        <w:tc>
          <w:tcPr>
            <w:tcW w:w="2250" w:type="dxa"/>
            <w:tcBorders>
              <w:top w:val="nil"/>
              <w:left w:val="single" w:sz="12" w:space="0" w:color="FFFFFF"/>
              <w:bottom w:val="nil"/>
              <w:right w:val="single" w:sz="4" w:space="0" w:color="auto"/>
            </w:tcBorders>
            <w:shd w:val="clear" w:color="auto" w:fill="FFFFFF"/>
            <w:vAlign w:val="center"/>
          </w:tcPr>
          <w:p w14:paraId="3800799A" w14:textId="77777777" w:rsidR="00D11D71" w:rsidRPr="00BA09A3" w:rsidRDefault="00D11D71" w:rsidP="00792363">
            <w:pPr>
              <w:spacing w:before="0" w:after="0" w:line="240" w:lineRule="auto"/>
              <w:jc w:val="left"/>
              <w:rPr>
                <w:rFonts w:eastAsia="MS Mincho"/>
                <w:b/>
                <w:color w:val="000000"/>
                <w:sz w:val="20"/>
                <w:szCs w:val="20"/>
              </w:rPr>
            </w:pPr>
            <w:r w:rsidRPr="00BA09A3">
              <w:rPr>
                <w:rFonts w:eastAsia="MS Mincho"/>
                <w:b/>
                <w:color w:val="000000"/>
                <w:kern w:val="24"/>
                <w:sz w:val="20"/>
                <w:szCs w:val="20"/>
              </w:rPr>
              <w:tab/>
              <w:t>2033</w:t>
            </w:r>
          </w:p>
        </w:tc>
      </w:tr>
      <w:tr w:rsidR="00D11D71" w:rsidRPr="008720F4" w14:paraId="2658504F" w14:textId="77777777" w:rsidTr="000571BA">
        <w:trPr>
          <w:trHeight w:hRule="exact" w:val="288"/>
          <w:jc w:val="center"/>
        </w:trPr>
        <w:tc>
          <w:tcPr>
            <w:tcW w:w="1785"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61C730F8"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Wansley</w:t>
            </w:r>
          </w:p>
        </w:tc>
        <w:tc>
          <w:tcPr>
            <w:tcW w:w="136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31AE920E"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1</w:t>
            </w:r>
          </w:p>
        </w:tc>
        <w:tc>
          <w:tcPr>
            <w:tcW w:w="1530"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1125F583" w14:textId="77777777" w:rsidR="00D11D71" w:rsidRPr="00BA09A3" w:rsidRDefault="00D11D71" w:rsidP="00792363">
            <w:pPr>
              <w:spacing w:before="0" w:after="0" w:line="240" w:lineRule="auto"/>
              <w:ind w:left="18"/>
              <w:jc w:val="center"/>
              <w:rPr>
                <w:rFonts w:eastAsia="MS Mincho"/>
                <w:color w:val="000000"/>
                <w:sz w:val="20"/>
                <w:szCs w:val="20"/>
              </w:rPr>
            </w:pPr>
          </w:p>
        </w:tc>
        <w:tc>
          <w:tcPr>
            <w:tcW w:w="1530"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78484E92"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1</w:t>
            </w:r>
          </w:p>
        </w:tc>
        <w:tc>
          <w:tcPr>
            <w:tcW w:w="2250" w:type="dxa"/>
            <w:tcBorders>
              <w:top w:val="nil"/>
              <w:left w:val="single" w:sz="12" w:space="0" w:color="FFFFFF"/>
              <w:bottom w:val="nil"/>
              <w:right w:val="single" w:sz="4" w:space="0" w:color="auto"/>
            </w:tcBorders>
            <w:shd w:val="clear" w:color="auto" w:fill="E9E9E9"/>
            <w:vAlign w:val="center"/>
          </w:tcPr>
          <w:p w14:paraId="08FB28C9" w14:textId="0F80A224" w:rsidR="00D11D71" w:rsidRPr="00BA09A3" w:rsidRDefault="00D11D71" w:rsidP="00792363">
            <w:pPr>
              <w:spacing w:before="0" w:after="0" w:line="240" w:lineRule="auto"/>
              <w:ind w:left="18"/>
              <w:jc w:val="left"/>
              <w:rPr>
                <w:rFonts w:eastAsia="MS Mincho"/>
                <w:b/>
                <w:color w:val="000000"/>
                <w:sz w:val="20"/>
                <w:szCs w:val="20"/>
              </w:rPr>
            </w:pPr>
            <w:r w:rsidRPr="006D6215">
              <w:rPr>
                <w:rFonts w:eastAsia="MS Mincho"/>
                <w:b/>
                <w:color w:val="000000"/>
                <w:kern w:val="24"/>
                <w:sz w:val="20"/>
                <w:szCs w:val="20"/>
              </w:rPr>
              <w:tab/>
            </w:r>
            <w:r w:rsidR="0044777E" w:rsidRPr="006D6215">
              <w:rPr>
                <w:rFonts w:eastAsia="MS Mincho"/>
                <w:b/>
                <w:color w:val="000000"/>
                <w:kern w:val="24"/>
                <w:sz w:val="20"/>
                <w:szCs w:val="20"/>
              </w:rPr>
              <w:t>2035</w:t>
            </w:r>
          </w:p>
        </w:tc>
      </w:tr>
      <w:tr w:rsidR="00D11D71" w:rsidRPr="008720F4" w14:paraId="08EFF9CC" w14:textId="77777777" w:rsidTr="000571BA">
        <w:trPr>
          <w:trHeight w:hRule="exact" w:val="288"/>
          <w:jc w:val="center"/>
        </w:trPr>
        <w:tc>
          <w:tcPr>
            <w:tcW w:w="1785" w:type="dxa"/>
            <w:tcBorders>
              <w:top w:val="nil"/>
              <w:left w:val="single" w:sz="4" w:space="0" w:color="auto"/>
              <w:bottom w:val="single" w:sz="18" w:space="0" w:color="707070"/>
              <w:right w:val="single" w:sz="12" w:space="0" w:color="FFFFFF"/>
            </w:tcBorders>
            <w:shd w:val="clear" w:color="auto" w:fill="FFFFFF"/>
            <w:tcMar>
              <w:top w:w="22" w:type="dxa"/>
              <w:left w:w="81" w:type="dxa"/>
              <w:bottom w:w="22" w:type="dxa"/>
              <w:right w:w="81" w:type="dxa"/>
            </w:tcMar>
            <w:vAlign w:val="center"/>
            <w:hideMark/>
          </w:tcPr>
          <w:p w14:paraId="250D9D66" w14:textId="77777777" w:rsidR="00D11D71" w:rsidRPr="00BA09A3" w:rsidRDefault="00D11D71" w:rsidP="00792363">
            <w:pPr>
              <w:spacing w:before="0" w:after="0" w:line="240" w:lineRule="auto"/>
              <w:rPr>
                <w:rFonts w:eastAsia="MS Mincho"/>
                <w:color w:val="000000"/>
                <w:sz w:val="20"/>
                <w:szCs w:val="20"/>
              </w:rPr>
            </w:pPr>
            <w:r w:rsidRPr="00BA09A3">
              <w:rPr>
                <w:rFonts w:eastAsia="MS Mincho"/>
                <w:b/>
                <w:bCs/>
                <w:color w:val="000000"/>
                <w:sz w:val="20"/>
                <w:szCs w:val="20"/>
              </w:rPr>
              <w:t>Yates</w:t>
            </w:r>
          </w:p>
        </w:tc>
        <w:tc>
          <w:tcPr>
            <w:tcW w:w="1360" w:type="dxa"/>
            <w:tcBorders>
              <w:top w:val="nil"/>
              <w:left w:val="single" w:sz="12" w:space="0" w:color="FFFFFF"/>
              <w:bottom w:val="single" w:sz="18" w:space="0" w:color="707070"/>
              <w:right w:val="single" w:sz="12" w:space="0" w:color="FFFFFF"/>
            </w:tcBorders>
            <w:shd w:val="clear" w:color="auto" w:fill="FFFFFF"/>
            <w:tcMar>
              <w:top w:w="22" w:type="dxa"/>
              <w:left w:w="81" w:type="dxa"/>
              <w:bottom w:w="22" w:type="dxa"/>
              <w:right w:w="81" w:type="dxa"/>
            </w:tcMar>
            <w:vAlign w:val="center"/>
            <w:hideMark/>
          </w:tcPr>
          <w:p w14:paraId="165C1C76" w14:textId="77777777" w:rsidR="00D11D71" w:rsidRPr="00BA09A3" w:rsidRDefault="00D11D71" w:rsidP="007A2300">
            <w:pPr>
              <w:spacing w:before="0" w:after="0" w:line="240" w:lineRule="auto"/>
              <w:jc w:val="center"/>
              <w:rPr>
                <w:rFonts w:eastAsia="MS Mincho"/>
                <w:color w:val="000000"/>
                <w:sz w:val="20"/>
                <w:szCs w:val="20"/>
              </w:rPr>
            </w:pPr>
            <w:r w:rsidRPr="00BA09A3">
              <w:rPr>
                <w:rFonts w:eastAsia="MS Mincho"/>
                <w:color w:val="000000"/>
                <w:sz w:val="20"/>
                <w:szCs w:val="20"/>
              </w:rPr>
              <w:t>5</w:t>
            </w:r>
          </w:p>
        </w:tc>
        <w:tc>
          <w:tcPr>
            <w:tcW w:w="1530" w:type="dxa"/>
            <w:tcBorders>
              <w:top w:val="nil"/>
              <w:left w:val="single" w:sz="12" w:space="0" w:color="FFFFFF"/>
              <w:bottom w:val="single" w:sz="18" w:space="0" w:color="707070"/>
              <w:right w:val="single" w:sz="12" w:space="0" w:color="FFFFFF"/>
            </w:tcBorders>
            <w:shd w:val="clear" w:color="auto" w:fill="FFFFFF"/>
            <w:tcMar>
              <w:top w:w="22" w:type="dxa"/>
              <w:left w:w="81" w:type="dxa"/>
              <w:bottom w:w="22" w:type="dxa"/>
              <w:right w:w="81" w:type="dxa"/>
            </w:tcMar>
            <w:vAlign w:val="center"/>
            <w:hideMark/>
          </w:tcPr>
          <w:p w14:paraId="66BC9C81"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color w:val="000000"/>
                <w:sz w:val="20"/>
                <w:szCs w:val="20"/>
              </w:rPr>
              <w:t>2</w:t>
            </w:r>
          </w:p>
        </w:tc>
        <w:tc>
          <w:tcPr>
            <w:tcW w:w="1530" w:type="dxa"/>
            <w:tcBorders>
              <w:top w:val="nil"/>
              <w:left w:val="single" w:sz="12" w:space="0" w:color="FFFFFF"/>
              <w:bottom w:val="single" w:sz="18" w:space="0" w:color="707070"/>
              <w:right w:val="single" w:sz="4" w:space="0" w:color="auto"/>
            </w:tcBorders>
            <w:shd w:val="clear" w:color="auto" w:fill="FFFFFF"/>
            <w:tcMar>
              <w:top w:w="22" w:type="dxa"/>
              <w:left w:w="81" w:type="dxa"/>
              <w:bottom w:w="22" w:type="dxa"/>
              <w:right w:w="81" w:type="dxa"/>
            </w:tcMar>
            <w:vAlign w:val="center"/>
            <w:hideMark/>
          </w:tcPr>
          <w:p w14:paraId="6CCCDF32"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7</w:t>
            </w:r>
          </w:p>
        </w:tc>
        <w:tc>
          <w:tcPr>
            <w:tcW w:w="2250" w:type="dxa"/>
            <w:tcBorders>
              <w:top w:val="nil"/>
              <w:left w:val="single" w:sz="12" w:space="0" w:color="FFFFFF"/>
              <w:bottom w:val="single" w:sz="18" w:space="0" w:color="707070"/>
              <w:right w:val="single" w:sz="4" w:space="0" w:color="auto"/>
            </w:tcBorders>
            <w:shd w:val="clear" w:color="auto" w:fill="FFFFFF"/>
            <w:vAlign w:val="center"/>
          </w:tcPr>
          <w:p w14:paraId="0A9B754E" w14:textId="0B92481B" w:rsidR="00D11D71" w:rsidRPr="00BA09A3" w:rsidRDefault="00D11D71" w:rsidP="00792363">
            <w:pPr>
              <w:spacing w:before="0" w:after="0" w:line="240" w:lineRule="auto"/>
              <w:ind w:left="18"/>
              <w:jc w:val="left"/>
              <w:rPr>
                <w:rFonts w:eastAsia="MS Mincho"/>
                <w:b/>
                <w:color w:val="000000"/>
                <w:sz w:val="20"/>
                <w:szCs w:val="20"/>
              </w:rPr>
            </w:pPr>
            <w:r w:rsidRPr="006D6215">
              <w:rPr>
                <w:rFonts w:eastAsia="MS Mincho"/>
                <w:b/>
                <w:bCs/>
                <w:color w:val="000000"/>
                <w:kern w:val="24"/>
                <w:sz w:val="20"/>
                <w:szCs w:val="20"/>
              </w:rPr>
              <w:tab/>
              <w:t>202</w:t>
            </w:r>
            <w:r w:rsidR="005204FA" w:rsidRPr="006D6215">
              <w:rPr>
                <w:rFonts w:eastAsia="MS Mincho"/>
                <w:b/>
                <w:bCs/>
                <w:color w:val="000000"/>
                <w:kern w:val="24"/>
                <w:sz w:val="20"/>
                <w:szCs w:val="20"/>
              </w:rPr>
              <w:t>8</w:t>
            </w:r>
          </w:p>
        </w:tc>
      </w:tr>
      <w:tr w:rsidR="00D11D71" w:rsidRPr="008720F4" w14:paraId="3737DC02" w14:textId="77777777" w:rsidTr="00BA09A3">
        <w:trPr>
          <w:trHeight w:hRule="exact" w:val="358"/>
          <w:jc w:val="center"/>
        </w:trPr>
        <w:tc>
          <w:tcPr>
            <w:tcW w:w="1785" w:type="dxa"/>
            <w:tcBorders>
              <w:top w:val="single" w:sz="18" w:space="0" w:color="707070"/>
              <w:left w:val="single" w:sz="4" w:space="0" w:color="auto"/>
              <w:bottom w:val="single" w:sz="4" w:space="0" w:color="auto"/>
              <w:right w:val="single" w:sz="12" w:space="0" w:color="FFFFFF"/>
            </w:tcBorders>
            <w:shd w:val="clear" w:color="auto" w:fill="E9E9E9"/>
            <w:tcMar>
              <w:top w:w="22" w:type="dxa"/>
              <w:left w:w="81" w:type="dxa"/>
              <w:bottom w:w="22" w:type="dxa"/>
              <w:right w:w="81" w:type="dxa"/>
            </w:tcMar>
            <w:vAlign w:val="center"/>
            <w:hideMark/>
          </w:tcPr>
          <w:p w14:paraId="794EAD05" w14:textId="378E4CAC" w:rsidR="00D11D71" w:rsidRPr="00BA2051" w:rsidRDefault="00E04311" w:rsidP="00BA2051">
            <w:pPr>
              <w:spacing w:before="0" w:after="0" w:line="240" w:lineRule="auto"/>
              <w:ind w:left="-3"/>
              <w:jc w:val="left"/>
              <w:rPr>
                <w:rFonts w:eastAsia="MS Mincho"/>
                <w:b/>
                <w:color w:val="000000"/>
                <w:sz w:val="20"/>
                <w:szCs w:val="20"/>
              </w:rPr>
            </w:pPr>
            <w:r w:rsidRPr="00BA2051">
              <w:rPr>
                <w:rFonts w:eastAsia="MS Mincho" w:hint="eastAsia"/>
                <w:b/>
                <w:bCs/>
                <w:color w:val="000000"/>
                <w:sz w:val="20"/>
                <w:szCs w:val="20"/>
              </w:rPr>
              <w:t>Total</w:t>
            </w:r>
          </w:p>
        </w:tc>
        <w:tc>
          <w:tcPr>
            <w:tcW w:w="1360" w:type="dxa"/>
            <w:tcBorders>
              <w:top w:val="single" w:sz="18" w:space="0" w:color="707070"/>
              <w:left w:val="single" w:sz="12" w:space="0" w:color="FFFFFF"/>
              <w:bottom w:val="single" w:sz="4" w:space="0" w:color="auto"/>
              <w:right w:val="single" w:sz="12" w:space="0" w:color="FFFFFF"/>
            </w:tcBorders>
            <w:shd w:val="clear" w:color="auto" w:fill="E9E9E9"/>
            <w:tcMar>
              <w:top w:w="43" w:type="dxa"/>
              <w:left w:w="81" w:type="dxa"/>
              <w:bottom w:w="22" w:type="dxa"/>
              <w:right w:w="81" w:type="dxa"/>
            </w:tcMar>
            <w:vAlign w:val="center"/>
            <w:hideMark/>
          </w:tcPr>
          <w:p w14:paraId="5A509592" w14:textId="77777777" w:rsidR="00D11D71" w:rsidRPr="00BA09A3" w:rsidRDefault="00D11D71" w:rsidP="00792363">
            <w:pPr>
              <w:spacing w:before="0" w:after="0" w:line="240" w:lineRule="auto"/>
              <w:jc w:val="center"/>
              <w:rPr>
                <w:rFonts w:eastAsia="MS Mincho"/>
                <w:color w:val="000000"/>
                <w:sz w:val="20"/>
                <w:szCs w:val="20"/>
              </w:rPr>
            </w:pPr>
            <w:r w:rsidRPr="00BA09A3">
              <w:rPr>
                <w:rFonts w:eastAsia="MS Mincho"/>
                <w:color w:val="000000"/>
                <w:sz w:val="20"/>
                <w:szCs w:val="20"/>
              </w:rPr>
              <w:t>20</w:t>
            </w:r>
          </w:p>
        </w:tc>
        <w:tc>
          <w:tcPr>
            <w:tcW w:w="1530" w:type="dxa"/>
            <w:tcBorders>
              <w:top w:val="single" w:sz="18" w:space="0" w:color="707070"/>
              <w:left w:val="single" w:sz="12" w:space="0" w:color="FFFFFF"/>
              <w:bottom w:val="single" w:sz="4" w:space="0" w:color="auto"/>
              <w:right w:val="single" w:sz="12" w:space="0" w:color="FFFFFF"/>
            </w:tcBorders>
            <w:shd w:val="clear" w:color="auto" w:fill="E9E9E9"/>
            <w:tcMar>
              <w:top w:w="43" w:type="dxa"/>
              <w:left w:w="81" w:type="dxa"/>
              <w:bottom w:w="22" w:type="dxa"/>
              <w:right w:w="81" w:type="dxa"/>
            </w:tcMar>
            <w:vAlign w:val="center"/>
            <w:hideMark/>
          </w:tcPr>
          <w:p w14:paraId="6086EC83"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color w:val="000000"/>
                <w:sz w:val="20"/>
                <w:szCs w:val="20"/>
              </w:rPr>
              <w:t>9</w:t>
            </w:r>
          </w:p>
        </w:tc>
        <w:tc>
          <w:tcPr>
            <w:tcW w:w="1530" w:type="dxa"/>
            <w:tcBorders>
              <w:top w:val="single" w:sz="18" w:space="0" w:color="707070"/>
              <w:left w:val="single" w:sz="12" w:space="0" w:color="FFFFFF"/>
              <w:bottom w:val="single" w:sz="4" w:space="0" w:color="auto"/>
              <w:right w:val="single" w:sz="4" w:space="0" w:color="auto"/>
            </w:tcBorders>
            <w:shd w:val="clear" w:color="auto" w:fill="E9E9E9"/>
            <w:tcMar>
              <w:top w:w="43" w:type="dxa"/>
              <w:left w:w="81" w:type="dxa"/>
              <w:bottom w:w="22" w:type="dxa"/>
              <w:right w:w="81" w:type="dxa"/>
            </w:tcMar>
            <w:vAlign w:val="center"/>
            <w:hideMark/>
          </w:tcPr>
          <w:p w14:paraId="332C3BB3" w14:textId="77777777" w:rsidR="00D11D71" w:rsidRPr="00BA09A3" w:rsidRDefault="00D11D71" w:rsidP="00792363">
            <w:pPr>
              <w:spacing w:before="0" w:after="0" w:line="240" w:lineRule="auto"/>
              <w:ind w:left="18"/>
              <w:jc w:val="center"/>
              <w:rPr>
                <w:rFonts w:eastAsia="MS Mincho"/>
                <w:color w:val="000000"/>
                <w:sz w:val="20"/>
                <w:szCs w:val="20"/>
              </w:rPr>
            </w:pPr>
            <w:r w:rsidRPr="00BA09A3">
              <w:rPr>
                <w:rFonts w:eastAsia="MS Mincho"/>
                <w:b/>
                <w:bCs/>
                <w:color w:val="000000"/>
                <w:sz w:val="20"/>
                <w:szCs w:val="20"/>
              </w:rPr>
              <w:t>29</w:t>
            </w:r>
          </w:p>
        </w:tc>
        <w:tc>
          <w:tcPr>
            <w:tcW w:w="2250" w:type="dxa"/>
            <w:tcBorders>
              <w:top w:val="single" w:sz="18" w:space="0" w:color="707070"/>
              <w:left w:val="single" w:sz="12" w:space="0" w:color="FFFFFF"/>
              <w:bottom w:val="single" w:sz="4" w:space="0" w:color="auto"/>
              <w:right w:val="single" w:sz="4" w:space="0" w:color="auto"/>
            </w:tcBorders>
            <w:shd w:val="clear" w:color="auto" w:fill="E9E9E9"/>
            <w:vAlign w:val="center"/>
          </w:tcPr>
          <w:p w14:paraId="42FB2143" w14:textId="77777777" w:rsidR="00D11D71" w:rsidRPr="00BA09A3" w:rsidRDefault="00D11D71" w:rsidP="00792363">
            <w:pPr>
              <w:spacing w:before="0" w:after="0" w:line="240" w:lineRule="auto"/>
              <w:ind w:left="18"/>
              <w:jc w:val="center"/>
              <w:rPr>
                <w:rFonts w:eastAsia="MS Mincho"/>
                <w:b/>
                <w:bCs/>
                <w:color w:val="000000"/>
                <w:sz w:val="20"/>
                <w:szCs w:val="20"/>
              </w:rPr>
            </w:pPr>
          </w:p>
        </w:tc>
      </w:tr>
    </w:tbl>
    <w:p w14:paraId="204AC58A" w14:textId="1C02BD70" w:rsidR="00D11D71" w:rsidRPr="005A02A7" w:rsidRDefault="00D11D71" w:rsidP="007E6081">
      <w:pPr>
        <w:spacing w:before="0" w:after="0" w:line="240" w:lineRule="auto"/>
        <w:ind w:left="446" w:right="450"/>
        <w:rPr>
          <w:rFonts w:eastAsia="MS Mincho"/>
          <w:i/>
          <w:iCs/>
          <w:sz w:val="16"/>
          <w:szCs w:val="16"/>
        </w:rPr>
      </w:pPr>
      <w:r w:rsidRPr="005A02A7">
        <w:rPr>
          <w:rFonts w:eastAsia="MS Mincho"/>
          <w:i/>
          <w:iCs/>
          <w:sz w:val="16"/>
          <w:szCs w:val="16"/>
          <w:vertAlign w:val="superscript"/>
        </w:rPr>
        <w:t>1</w:t>
      </w:r>
      <w:r w:rsidRPr="005A02A7">
        <w:rPr>
          <w:rFonts w:eastAsia="MS Mincho"/>
          <w:i/>
          <w:iCs/>
          <w:sz w:val="16"/>
          <w:szCs w:val="16"/>
        </w:rPr>
        <w:t xml:space="preserve"> For those sites with multiple ash ponds, the date above reflects the last pond’s estimated closure</w:t>
      </w:r>
      <w:r w:rsidR="005A02A7" w:rsidRPr="005A02A7">
        <w:rPr>
          <w:rFonts w:eastAsia="MS Mincho"/>
          <w:i/>
          <w:iCs/>
          <w:sz w:val="16"/>
          <w:szCs w:val="16"/>
        </w:rPr>
        <w:t xml:space="preserve"> </w:t>
      </w:r>
      <w:r w:rsidRPr="005A02A7">
        <w:rPr>
          <w:rFonts w:eastAsia="MS Mincho"/>
          <w:i/>
          <w:iCs/>
          <w:sz w:val="16"/>
          <w:szCs w:val="16"/>
        </w:rPr>
        <w:t>construction completion date for the site in total.</w:t>
      </w:r>
      <w:r w:rsidRPr="005A02A7" w:rsidDel="00B343C8">
        <w:rPr>
          <w:rFonts w:eastAsia="MS Mincho"/>
          <w:i/>
          <w:iCs/>
          <w:sz w:val="16"/>
          <w:szCs w:val="16"/>
        </w:rPr>
        <w:t xml:space="preserve"> </w:t>
      </w:r>
      <w:r w:rsidRPr="005A02A7">
        <w:rPr>
          <w:rFonts w:eastAsia="MS Mincho"/>
          <w:i/>
          <w:iCs/>
          <w:sz w:val="16"/>
          <w:szCs w:val="16"/>
        </w:rPr>
        <w:t>The “Estimated Closure Construction Completion” date reflects the estimated end of closure construction and estimated completion of</w:t>
      </w:r>
      <w:r w:rsidRPr="00F412C5">
        <w:rPr>
          <w:rFonts w:eastAsia="MS Mincho"/>
          <w:i/>
          <w:iCs/>
          <w:sz w:val="16"/>
          <w:szCs w:val="16"/>
        </w:rPr>
        <w:t xml:space="preserve"> major restoration activities that may go beyond the submittal</w:t>
      </w:r>
      <w:r w:rsidRPr="005A02A7">
        <w:rPr>
          <w:rFonts w:eastAsia="MS Mincho"/>
          <w:i/>
          <w:iCs/>
          <w:sz w:val="16"/>
          <w:szCs w:val="16"/>
        </w:rPr>
        <w:t xml:space="preserve"> of the Closure Certification Report or the Certification of Removal Report.</w:t>
      </w:r>
      <w:r w:rsidRPr="005A02A7" w:rsidDel="00A81BB0">
        <w:rPr>
          <w:rFonts w:eastAsia="MS Mincho"/>
          <w:i/>
          <w:iCs/>
          <w:sz w:val="16"/>
          <w:szCs w:val="16"/>
        </w:rPr>
        <w:t xml:space="preserve"> </w:t>
      </w:r>
    </w:p>
    <w:p w14:paraId="6F88F381" w14:textId="77777777" w:rsidR="00D11D71" w:rsidRPr="005A02A7" w:rsidRDefault="00D11D71" w:rsidP="007E6081">
      <w:pPr>
        <w:spacing w:before="0" w:after="0" w:line="240" w:lineRule="auto"/>
        <w:ind w:left="446"/>
        <w:rPr>
          <w:rFonts w:eastAsia="MS Mincho"/>
          <w:i/>
          <w:iCs/>
          <w:sz w:val="16"/>
          <w:szCs w:val="16"/>
        </w:rPr>
      </w:pPr>
      <w:r w:rsidRPr="005A02A7">
        <w:rPr>
          <w:rFonts w:eastAsia="MS Mincho"/>
          <w:i/>
          <w:iCs/>
          <w:sz w:val="16"/>
          <w:szCs w:val="16"/>
          <w:vertAlign w:val="superscript"/>
        </w:rPr>
        <w:t>A</w:t>
      </w:r>
      <w:r w:rsidRPr="005A02A7">
        <w:rPr>
          <w:rFonts w:eastAsia="MS Mincho"/>
          <w:i/>
          <w:iCs/>
          <w:sz w:val="16"/>
          <w:szCs w:val="16"/>
        </w:rPr>
        <w:t xml:space="preserve"> Denotes actual closure construction completion date.</w:t>
      </w:r>
    </w:p>
    <w:p w14:paraId="6BEDCA22" w14:textId="77777777" w:rsidR="00A044F6" w:rsidRDefault="00A044F6" w:rsidP="009708E3">
      <w:pPr>
        <w:spacing w:after="0" w:line="240" w:lineRule="auto"/>
        <w:ind w:left="446"/>
        <w:rPr>
          <w:rFonts w:eastAsia="MS Mincho"/>
          <w:i/>
          <w:iCs/>
          <w:sz w:val="20"/>
          <w:szCs w:val="20"/>
        </w:rPr>
      </w:pPr>
    </w:p>
    <w:p w14:paraId="0FA65BEB" w14:textId="35B63BCA" w:rsidR="006E5698" w:rsidRDefault="006E5698" w:rsidP="009708E3">
      <w:pPr>
        <w:spacing w:after="0" w:line="276" w:lineRule="auto"/>
        <w:ind w:left="288"/>
        <w:jc w:val="center"/>
        <w:rPr>
          <w:rFonts w:eastAsia="MS Mincho" w:cstheme="minorHAnsi"/>
          <w:b/>
          <w:bCs/>
          <w:sz w:val="20"/>
          <w:szCs w:val="20"/>
        </w:rPr>
      </w:pPr>
      <w:bookmarkStart w:id="11" w:name="_Ref130484156"/>
      <w:r w:rsidRPr="006E5698">
        <w:rPr>
          <w:rFonts w:eastAsia="MS Mincho" w:cstheme="minorHAnsi"/>
          <w:b/>
          <w:bCs/>
          <w:sz w:val="20"/>
          <w:szCs w:val="20"/>
        </w:rPr>
        <w:t xml:space="preserve">Table </w:t>
      </w:r>
      <w:r w:rsidRPr="006E5698">
        <w:rPr>
          <w:rFonts w:eastAsia="MS Mincho" w:cstheme="minorHAnsi"/>
          <w:b/>
          <w:bCs/>
          <w:sz w:val="20"/>
          <w:szCs w:val="20"/>
        </w:rPr>
        <w:fldChar w:fldCharType="begin"/>
      </w:r>
      <w:r w:rsidRPr="006E5698">
        <w:rPr>
          <w:rFonts w:eastAsia="MS Mincho" w:cstheme="minorHAnsi"/>
          <w:b/>
          <w:bCs/>
          <w:sz w:val="20"/>
          <w:szCs w:val="20"/>
        </w:rPr>
        <w:instrText>SEQ Table \* ARABIC</w:instrText>
      </w:r>
      <w:r w:rsidRPr="006E5698">
        <w:rPr>
          <w:rFonts w:eastAsia="MS Mincho" w:cstheme="minorHAnsi"/>
          <w:b/>
          <w:bCs/>
          <w:sz w:val="20"/>
          <w:szCs w:val="20"/>
        </w:rPr>
        <w:fldChar w:fldCharType="separate"/>
      </w:r>
      <w:r w:rsidR="0043583C">
        <w:rPr>
          <w:rFonts w:eastAsia="MS Mincho" w:cstheme="minorHAnsi"/>
          <w:b/>
          <w:bCs/>
          <w:noProof/>
          <w:sz w:val="20"/>
          <w:szCs w:val="20"/>
        </w:rPr>
        <w:t>2</w:t>
      </w:r>
      <w:r w:rsidRPr="006E5698">
        <w:rPr>
          <w:rFonts w:eastAsia="MS Mincho" w:cstheme="minorHAnsi"/>
          <w:b/>
          <w:bCs/>
          <w:sz w:val="20"/>
          <w:szCs w:val="20"/>
        </w:rPr>
        <w:fldChar w:fldCharType="end"/>
      </w:r>
      <w:bookmarkEnd w:id="11"/>
      <w:r w:rsidRPr="006E5698">
        <w:rPr>
          <w:rFonts w:eastAsia="MS Mincho" w:cstheme="minorHAnsi"/>
          <w:b/>
          <w:bCs/>
          <w:sz w:val="20"/>
          <w:szCs w:val="20"/>
        </w:rPr>
        <w:t>. Landfill Estimated Closure Construction Timeframes</w:t>
      </w:r>
    </w:p>
    <w:tbl>
      <w:tblPr>
        <w:tblW w:w="8375" w:type="dxa"/>
        <w:jc w:val="center"/>
        <w:tblCellMar>
          <w:left w:w="0" w:type="dxa"/>
          <w:right w:w="0" w:type="dxa"/>
        </w:tblCellMar>
        <w:tblLook w:val="0420" w:firstRow="1" w:lastRow="0" w:firstColumn="0" w:lastColumn="0" w:noHBand="0" w:noVBand="1"/>
      </w:tblPr>
      <w:tblGrid>
        <w:gridCol w:w="2605"/>
        <w:gridCol w:w="1201"/>
        <w:gridCol w:w="1538"/>
        <w:gridCol w:w="1334"/>
        <w:gridCol w:w="1697"/>
      </w:tblGrid>
      <w:tr w:rsidR="00175301" w:rsidRPr="00B225E0" w14:paraId="4DAD298B" w14:textId="77777777" w:rsidTr="007E6081">
        <w:trPr>
          <w:trHeight w:hRule="exact" w:val="1231"/>
          <w:jc w:val="center"/>
        </w:trPr>
        <w:tc>
          <w:tcPr>
            <w:tcW w:w="2605" w:type="dxa"/>
            <w:tcBorders>
              <w:top w:val="single" w:sz="12" w:space="0" w:color="FFFFFF" w:themeColor="background1"/>
              <w:left w:val="single" w:sz="4" w:space="0" w:color="auto"/>
              <w:bottom w:val="nil"/>
              <w:right w:val="single" w:sz="12" w:space="0" w:color="FFFFFF" w:themeColor="background1"/>
            </w:tcBorders>
            <w:shd w:val="clear" w:color="auto" w:fill="2F5496" w:themeFill="accent1" w:themeFillShade="BF"/>
            <w:tcMar>
              <w:top w:w="40" w:type="dxa"/>
              <w:left w:w="81" w:type="dxa"/>
              <w:bottom w:w="40" w:type="dxa"/>
              <w:right w:w="81" w:type="dxa"/>
            </w:tcMar>
            <w:vAlign w:val="center"/>
            <w:hideMark/>
          </w:tcPr>
          <w:p w14:paraId="49CC6733" w14:textId="77777777" w:rsidR="009E28B8" w:rsidRPr="00BA09A3" w:rsidRDefault="009E28B8" w:rsidP="00792363">
            <w:pPr>
              <w:spacing w:before="0" w:after="0" w:line="240" w:lineRule="auto"/>
              <w:ind w:left="360"/>
              <w:jc w:val="center"/>
              <w:rPr>
                <w:color w:val="000000"/>
                <w:sz w:val="20"/>
                <w:szCs w:val="20"/>
              </w:rPr>
            </w:pPr>
          </w:p>
        </w:tc>
        <w:tc>
          <w:tcPr>
            <w:tcW w:w="120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tcMar>
              <w:top w:w="15" w:type="dxa"/>
              <w:left w:w="43" w:type="dxa"/>
              <w:bottom w:w="22" w:type="dxa"/>
              <w:right w:w="43" w:type="dxa"/>
            </w:tcMar>
            <w:vAlign w:val="center"/>
            <w:hideMark/>
          </w:tcPr>
          <w:p w14:paraId="419FFDE6" w14:textId="77777777" w:rsidR="009E28B8" w:rsidRPr="00BA09A3" w:rsidRDefault="009E28B8" w:rsidP="00792363">
            <w:pPr>
              <w:spacing w:before="0" w:after="0" w:line="240" w:lineRule="auto"/>
              <w:ind w:left="26"/>
              <w:jc w:val="center"/>
              <w:rPr>
                <w:color w:val="FFFFFF" w:themeColor="background1"/>
                <w:sz w:val="20"/>
                <w:szCs w:val="20"/>
              </w:rPr>
            </w:pPr>
            <w:r w:rsidRPr="00BA09A3">
              <w:rPr>
                <w:b/>
                <w:bCs/>
                <w:color w:val="FFFFFF" w:themeColor="background1"/>
                <w:sz w:val="20"/>
                <w:szCs w:val="20"/>
              </w:rPr>
              <w:t>Existing CCR Landfills</w:t>
            </w:r>
          </w:p>
        </w:tc>
        <w:tc>
          <w:tcPr>
            <w:tcW w:w="153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tcMar>
              <w:top w:w="15" w:type="dxa"/>
              <w:left w:w="43" w:type="dxa"/>
              <w:bottom w:w="22" w:type="dxa"/>
              <w:right w:w="43" w:type="dxa"/>
            </w:tcMar>
            <w:vAlign w:val="center"/>
            <w:hideMark/>
          </w:tcPr>
          <w:p w14:paraId="31DC2963" w14:textId="77777777" w:rsidR="009E28B8" w:rsidRPr="00BA09A3" w:rsidRDefault="009E28B8" w:rsidP="00792363">
            <w:pPr>
              <w:spacing w:before="0" w:after="0" w:line="240" w:lineRule="auto"/>
              <w:ind w:left="83"/>
              <w:jc w:val="center"/>
              <w:rPr>
                <w:color w:val="FFFFFF" w:themeColor="background1"/>
                <w:sz w:val="20"/>
                <w:szCs w:val="20"/>
              </w:rPr>
            </w:pPr>
            <w:r w:rsidRPr="00BA09A3">
              <w:rPr>
                <w:rFonts w:eastAsia="Times New Roman"/>
                <w:b/>
                <w:bCs/>
                <w:color w:val="FFFFFF" w:themeColor="background1"/>
                <w:kern w:val="24"/>
                <w:sz w:val="20"/>
                <w:szCs w:val="20"/>
              </w:rPr>
              <w:t>Future, New Permitted Landfills</w:t>
            </w:r>
          </w:p>
        </w:tc>
        <w:tc>
          <w:tcPr>
            <w:tcW w:w="13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vAlign w:val="center"/>
          </w:tcPr>
          <w:p w14:paraId="1379EB4F" w14:textId="1729B194" w:rsidR="009E28B8" w:rsidRPr="00BA09A3" w:rsidRDefault="009E28B8" w:rsidP="00792363">
            <w:pPr>
              <w:spacing w:before="0" w:after="0" w:line="240" w:lineRule="auto"/>
              <w:jc w:val="center"/>
              <w:rPr>
                <w:b/>
                <w:bCs/>
                <w:color w:val="FFFFFF" w:themeColor="background1"/>
                <w:sz w:val="20"/>
                <w:szCs w:val="20"/>
              </w:rPr>
            </w:pPr>
            <w:r w:rsidRPr="00BA09A3">
              <w:rPr>
                <w:b/>
                <w:bCs/>
                <w:color w:val="FFFFFF" w:themeColor="background1"/>
                <w:sz w:val="20"/>
                <w:szCs w:val="20"/>
              </w:rPr>
              <w:t>Total</w:t>
            </w:r>
          </w:p>
        </w:tc>
        <w:tc>
          <w:tcPr>
            <w:tcW w:w="1697" w:type="dxa"/>
            <w:tcBorders>
              <w:top w:val="single" w:sz="12" w:space="0" w:color="FFFFFF" w:themeColor="background1"/>
              <w:left w:val="single" w:sz="12" w:space="0" w:color="FFFFFF" w:themeColor="background1"/>
              <w:bottom w:val="single" w:sz="12" w:space="0" w:color="FFFFFF" w:themeColor="background1"/>
              <w:right w:val="single" w:sz="4" w:space="0" w:color="auto"/>
            </w:tcBorders>
            <w:shd w:val="clear" w:color="auto" w:fill="2F5496" w:themeFill="accent1" w:themeFillShade="BF"/>
            <w:tcMar>
              <w:top w:w="15" w:type="dxa"/>
              <w:left w:w="43" w:type="dxa"/>
              <w:bottom w:w="22" w:type="dxa"/>
              <w:right w:w="43" w:type="dxa"/>
            </w:tcMar>
            <w:vAlign w:val="center"/>
            <w:hideMark/>
          </w:tcPr>
          <w:p w14:paraId="662C83B8" w14:textId="3EA76882" w:rsidR="009E28B8" w:rsidRPr="00BA09A3" w:rsidRDefault="009E28B8" w:rsidP="00792363">
            <w:pPr>
              <w:spacing w:before="0" w:after="0" w:line="240" w:lineRule="auto"/>
              <w:jc w:val="center"/>
              <w:rPr>
                <w:color w:val="FFFFFF" w:themeColor="background1"/>
                <w:sz w:val="20"/>
                <w:szCs w:val="20"/>
              </w:rPr>
            </w:pPr>
            <w:r w:rsidRPr="00BA09A3">
              <w:rPr>
                <w:b/>
                <w:bCs/>
                <w:color w:val="FFFFFF" w:themeColor="background1"/>
                <w:sz w:val="20"/>
                <w:szCs w:val="20"/>
              </w:rPr>
              <w:t>Estimated Closure Construction Completion</w:t>
            </w:r>
            <w:r w:rsidRPr="00BA09A3">
              <w:rPr>
                <w:b/>
                <w:bCs/>
                <w:color w:val="FFFFFF" w:themeColor="background1"/>
                <w:sz w:val="20"/>
                <w:szCs w:val="20"/>
                <w:vertAlign w:val="superscript"/>
              </w:rPr>
              <w:t>1</w:t>
            </w:r>
          </w:p>
        </w:tc>
      </w:tr>
      <w:tr w:rsidR="009E28B8" w:rsidRPr="00B225E0" w14:paraId="48838013"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tcPr>
          <w:p w14:paraId="071FA566" w14:textId="166497B3" w:rsidR="009E28B8" w:rsidRPr="00BA09A3" w:rsidRDefault="009E28B8" w:rsidP="00792363">
            <w:pPr>
              <w:spacing w:before="0" w:after="0" w:line="240" w:lineRule="auto"/>
              <w:rPr>
                <w:b/>
                <w:bCs/>
                <w:color w:val="000000"/>
                <w:sz w:val="20"/>
                <w:szCs w:val="20"/>
              </w:rPr>
            </w:pPr>
            <w:r w:rsidRPr="00BA09A3">
              <w:rPr>
                <w:b/>
                <w:bCs/>
                <w:color w:val="000000"/>
                <w:sz w:val="20"/>
                <w:szCs w:val="20"/>
              </w:rPr>
              <w:t>Arkwright</w:t>
            </w:r>
          </w:p>
        </w:tc>
        <w:tc>
          <w:tcPr>
            <w:tcW w:w="1201"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6418DCBF"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3</w:t>
            </w:r>
          </w:p>
        </w:tc>
        <w:tc>
          <w:tcPr>
            <w:tcW w:w="1538"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28D9690C"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w:t>
            </w:r>
          </w:p>
        </w:tc>
        <w:tc>
          <w:tcPr>
            <w:tcW w:w="1334" w:type="dxa"/>
            <w:tcBorders>
              <w:top w:val="nil"/>
              <w:left w:val="single" w:sz="12" w:space="0" w:color="FFFFFF" w:themeColor="background1"/>
              <w:bottom w:val="nil"/>
              <w:right w:val="single" w:sz="12" w:space="0" w:color="FFFFFF" w:themeColor="background1"/>
            </w:tcBorders>
            <w:shd w:val="clear" w:color="auto" w:fill="EAEAEA"/>
            <w:vAlign w:val="center"/>
          </w:tcPr>
          <w:p w14:paraId="39113C43" w14:textId="00487309"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4</w:t>
            </w:r>
          </w:p>
        </w:tc>
        <w:tc>
          <w:tcPr>
            <w:tcW w:w="1697"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tcPr>
          <w:p w14:paraId="379FCD26" w14:textId="3FA6860A" w:rsidR="009E28B8" w:rsidRPr="00BA09A3" w:rsidRDefault="009E28B8" w:rsidP="00792363">
            <w:pPr>
              <w:spacing w:before="0" w:after="0" w:line="240" w:lineRule="auto"/>
              <w:ind w:left="216"/>
              <w:jc w:val="left"/>
              <w:rPr>
                <w:b/>
                <w:bCs/>
                <w:color w:val="000000"/>
                <w:sz w:val="20"/>
                <w:szCs w:val="20"/>
              </w:rPr>
            </w:pPr>
            <w:r w:rsidRPr="00C61A4F">
              <w:rPr>
                <w:rFonts w:eastAsia="Arial"/>
                <w:b/>
                <w:sz w:val="20"/>
                <w:szCs w:val="20"/>
              </w:rPr>
              <w:t xml:space="preserve">  </w:t>
            </w:r>
            <w:r w:rsidR="007C14B7">
              <w:rPr>
                <w:rFonts w:eastAsia="Arial"/>
                <w:b/>
                <w:sz w:val="20"/>
                <w:szCs w:val="20"/>
              </w:rPr>
              <w:t xml:space="preserve">  </w:t>
            </w:r>
            <w:r w:rsidRPr="00C61A4F">
              <w:rPr>
                <w:rFonts w:eastAsia="Arial"/>
                <w:b/>
                <w:sz w:val="20"/>
                <w:szCs w:val="20"/>
              </w:rPr>
              <w:t>2032</w:t>
            </w:r>
          </w:p>
        </w:tc>
      </w:tr>
      <w:tr w:rsidR="009E28B8" w:rsidRPr="00B225E0" w14:paraId="0B733E73"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77D530DD" w14:textId="77777777" w:rsidR="009E28B8" w:rsidRPr="00BA09A3" w:rsidRDefault="009E28B8" w:rsidP="00792363">
            <w:pPr>
              <w:spacing w:before="0" w:after="0" w:line="240" w:lineRule="auto"/>
              <w:rPr>
                <w:color w:val="000000"/>
                <w:sz w:val="20"/>
                <w:szCs w:val="20"/>
              </w:rPr>
            </w:pPr>
            <w:r w:rsidRPr="00BA09A3">
              <w:rPr>
                <w:b/>
                <w:bCs/>
                <w:color w:val="000000"/>
                <w:sz w:val="20"/>
                <w:szCs w:val="20"/>
              </w:rPr>
              <w:t>Bowen</w:t>
            </w:r>
          </w:p>
        </w:tc>
        <w:tc>
          <w:tcPr>
            <w:tcW w:w="1201"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48C097EE"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w:t>
            </w:r>
          </w:p>
        </w:tc>
        <w:tc>
          <w:tcPr>
            <w:tcW w:w="1538"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1F9152DD" w14:textId="77777777" w:rsidR="009E28B8" w:rsidRPr="00BA09A3" w:rsidRDefault="009E28B8" w:rsidP="00792363">
            <w:pPr>
              <w:spacing w:before="0" w:after="0" w:line="240" w:lineRule="auto"/>
              <w:ind w:left="360"/>
              <w:jc w:val="center"/>
              <w:rPr>
                <w:color w:val="000000"/>
                <w:sz w:val="20"/>
                <w:szCs w:val="20"/>
              </w:rPr>
            </w:pPr>
          </w:p>
        </w:tc>
        <w:tc>
          <w:tcPr>
            <w:tcW w:w="13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vAlign w:val="center"/>
          </w:tcPr>
          <w:p w14:paraId="24166620" w14:textId="7671DFF5"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1</w:t>
            </w:r>
          </w:p>
        </w:tc>
        <w:tc>
          <w:tcPr>
            <w:tcW w:w="1697"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2524B41D" w14:textId="131BA91A" w:rsidR="009E28B8" w:rsidRPr="00BA09A3" w:rsidRDefault="009E28B8" w:rsidP="00792363">
            <w:pPr>
              <w:spacing w:before="0" w:after="0" w:line="240" w:lineRule="auto"/>
              <w:ind w:left="216"/>
              <w:jc w:val="left"/>
              <w:rPr>
                <w:color w:val="000000"/>
                <w:sz w:val="20"/>
                <w:szCs w:val="20"/>
              </w:rPr>
            </w:pPr>
            <w:r w:rsidRPr="00BA09A3">
              <w:rPr>
                <w:b/>
                <w:color w:val="000000" w:themeColor="text1"/>
                <w:sz w:val="20"/>
                <w:szCs w:val="20"/>
              </w:rPr>
              <w:t xml:space="preserve">  </w:t>
            </w:r>
            <w:r w:rsidR="007C14B7">
              <w:rPr>
                <w:b/>
                <w:color w:val="000000" w:themeColor="text1"/>
                <w:sz w:val="20"/>
                <w:szCs w:val="20"/>
              </w:rPr>
              <w:t xml:space="preserve">  </w:t>
            </w:r>
            <w:r w:rsidR="006D1A77" w:rsidRPr="006D6215">
              <w:rPr>
                <w:b/>
                <w:color w:val="000000" w:themeColor="text1"/>
                <w:sz w:val="20"/>
                <w:szCs w:val="20"/>
              </w:rPr>
              <w:t>2040</w:t>
            </w:r>
          </w:p>
        </w:tc>
      </w:tr>
      <w:tr w:rsidR="009E28B8" w:rsidRPr="00B225E0" w14:paraId="5F3DBE18"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5F2F704E" w14:textId="77777777" w:rsidR="009E28B8" w:rsidRPr="00BA09A3" w:rsidRDefault="009E28B8" w:rsidP="00792363">
            <w:pPr>
              <w:spacing w:before="0" w:after="0" w:line="240" w:lineRule="auto"/>
              <w:rPr>
                <w:color w:val="000000"/>
                <w:sz w:val="20"/>
                <w:szCs w:val="20"/>
              </w:rPr>
            </w:pPr>
            <w:r w:rsidRPr="00BA09A3">
              <w:rPr>
                <w:b/>
                <w:bCs/>
                <w:color w:val="000000"/>
                <w:sz w:val="20"/>
                <w:szCs w:val="20"/>
              </w:rPr>
              <w:t>Branch</w:t>
            </w:r>
          </w:p>
        </w:tc>
        <w:tc>
          <w:tcPr>
            <w:tcW w:w="1201"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39F458D2" w14:textId="77777777" w:rsidR="009E28B8" w:rsidRPr="00BA09A3" w:rsidRDefault="009E28B8" w:rsidP="00792363">
            <w:pPr>
              <w:spacing w:before="0" w:after="0" w:line="240" w:lineRule="auto"/>
              <w:ind w:left="-4"/>
              <w:jc w:val="center"/>
              <w:rPr>
                <w:color w:val="000000"/>
                <w:sz w:val="20"/>
                <w:szCs w:val="20"/>
              </w:rPr>
            </w:pPr>
          </w:p>
        </w:tc>
        <w:tc>
          <w:tcPr>
            <w:tcW w:w="1538"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6E004D1F" w14:textId="77777777" w:rsidR="009E28B8" w:rsidRPr="00BA09A3" w:rsidRDefault="009E28B8" w:rsidP="00792363">
            <w:pPr>
              <w:spacing w:before="0" w:after="0" w:line="240" w:lineRule="auto"/>
              <w:ind w:left="18"/>
              <w:jc w:val="center"/>
              <w:rPr>
                <w:color w:val="000000"/>
                <w:sz w:val="20"/>
                <w:szCs w:val="20"/>
              </w:rPr>
            </w:pPr>
            <w:r w:rsidRPr="00BA09A3">
              <w:rPr>
                <w:color w:val="000000"/>
                <w:sz w:val="20"/>
                <w:szCs w:val="20"/>
              </w:rPr>
              <w:t>1</w:t>
            </w:r>
          </w:p>
        </w:tc>
        <w:tc>
          <w:tcPr>
            <w:tcW w:w="1334" w:type="dxa"/>
            <w:tcBorders>
              <w:top w:val="nil"/>
              <w:left w:val="single" w:sz="12" w:space="0" w:color="FFFFFF" w:themeColor="background1"/>
              <w:bottom w:val="nil"/>
              <w:right w:val="single" w:sz="12" w:space="0" w:color="FFFFFF" w:themeColor="background1"/>
            </w:tcBorders>
            <w:shd w:val="clear" w:color="auto" w:fill="E9E9E9"/>
            <w:vAlign w:val="center"/>
          </w:tcPr>
          <w:p w14:paraId="069C3CE8" w14:textId="09A9A2FC"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1</w:t>
            </w:r>
          </w:p>
        </w:tc>
        <w:tc>
          <w:tcPr>
            <w:tcW w:w="1697"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vAlign w:val="center"/>
            <w:hideMark/>
          </w:tcPr>
          <w:p w14:paraId="1C9BA07D" w14:textId="048C27E7" w:rsidR="009E28B8" w:rsidRPr="00BA09A3" w:rsidRDefault="009E28B8" w:rsidP="00792363">
            <w:pPr>
              <w:spacing w:before="0" w:after="0" w:line="240" w:lineRule="auto"/>
              <w:ind w:left="216"/>
              <w:jc w:val="left"/>
              <w:rPr>
                <w:color w:val="000000"/>
                <w:sz w:val="20"/>
                <w:szCs w:val="20"/>
              </w:rPr>
            </w:pPr>
            <w:r w:rsidRPr="00BA09A3">
              <w:rPr>
                <w:b/>
                <w:color w:val="000000" w:themeColor="text1"/>
                <w:kern w:val="24"/>
                <w:sz w:val="20"/>
                <w:szCs w:val="20"/>
              </w:rPr>
              <w:t xml:space="preserve">  </w:t>
            </w:r>
            <w:r w:rsidR="007C14B7">
              <w:rPr>
                <w:b/>
                <w:color w:val="000000" w:themeColor="text1"/>
                <w:kern w:val="24"/>
                <w:sz w:val="20"/>
                <w:szCs w:val="20"/>
              </w:rPr>
              <w:t xml:space="preserve">  </w:t>
            </w:r>
            <w:r w:rsidRPr="00BA09A3">
              <w:rPr>
                <w:b/>
                <w:color w:val="000000" w:themeColor="text1"/>
                <w:kern w:val="24"/>
                <w:sz w:val="20"/>
                <w:szCs w:val="20"/>
              </w:rPr>
              <w:t>2041</w:t>
            </w:r>
          </w:p>
        </w:tc>
      </w:tr>
      <w:tr w:rsidR="009E28B8" w:rsidRPr="00B225E0" w14:paraId="61E86BA6"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5EB2952E" w14:textId="77777777" w:rsidR="009E28B8" w:rsidRPr="00BA09A3" w:rsidRDefault="009E28B8" w:rsidP="00792363">
            <w:pPr>
              <w:spacing w:before="0" w:after="0" w:line="240" w:lineRule="auto"/>
              <w:rPr>
                <w:color w:val="000000"/>
                <w:sz w:val="20"/>
                <w:szCs w:val="20"/>
              </w:rPr>
            </w:pPr>
            <w:r w:rsidRPr="00BA09A3">
              <w:rPr>
                <w:b/>
                <w:color w:val="000000" w:themeColor="text1"/>
                <w:sz w:val="20"/>
                <w:szCs w:val="20"/>
              </w:rPr>
              <w:t>Hammond</w:t>
            </w:r>
          </w:p>
        </w:tc>
        <w:tc>
          <w:tcPr>
            <w:tcW w:w="1201"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0411E639"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w:t>
            </w:r>
          </w:p>
        </w:tc>
        <w:tc>
          <w:tcPr>
            <w:tcW w:w="1538"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DB9CA63" w14:textId="77777777" w:rsidR="009E28B8" w:rsidRPr="00BA09A3" w:rsidRDefault="009E28B8" w:rsidP="00792363">
            <w:pPr>
              <w:spacing w:before="0" w:after="0" w:line="240" w:lineRule="auto"/>
              <w:ind w:left="360"/>
              <w:jc w:val="center"/>
              <w:rPr>
                <w:color w:val="000000"/>
                <w:sz w:val="20"/>
                <w:szCs w:val="20"/>
              </w:rPr>
            </w:pPr>
          </w:p>
        </w:tc>
        <w:tc>
          <w:tcPr>
            <w:tcW w:w="1334" w:type="dxa"/>
            <w:tcBorders>
              <w:top w:val="nil"/>
              <w:left w:val="single" w:sz="12" w:space="0" w:color="FFFFFF" w:themeColor="background1"/>
              <w:bottom w:val="nil"/>
              <w:right w:val="single" w:sz="12" w:space="0" w:color="FFFFFF" w:themeColor="background1"/>
            </w:tcBorders>
            <w:shd w:val="clear" w:color="auto" w:fill="FFFFFF" w:themeFill="background1"/>
            <w:vAlign w:val="center"/>
          </w:tcPr>
          <w:p w14:paraId="569E5D67" w14:textId="4BDE4B7A"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1</w:t>
            </w:r>
          </w:p>
        </w:tc>
        <w:tc>
          <w:tcPr>
            <w:tcW w:w="1697"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1B95FBDA" w14:textId="6EF6EE1B" w:rsidR="009E28B8" w:rsidRPr="008E7777" w:rsidRDefault="009E28B8" w:rsidP="00792363">
            <w:pPr>
              <w:spacing w:before="0" w:after="0" w:line="240" w:lineRule="auto"/>
              <w:ind w:left="216"/>
              <w:jc w:val="left"/>
              <w:rPr>
                <w:color w:val="000000"/>
                <w:sz w:val="20"/>
                <w:szCs w:val="20"/>
              </w:rPr>
            </w:pPr>
            <w:r w:rsidRPr="008E7777">
              <w:rPr>
                <w:b/>
                <w:color w:val="000000" w:themeColor="text1"/>
                <w:kern w:val="24"/>
                <w:sz w:val="20"/>
                <w:szCs w:val="20"/>
              </w:rPr>
              <w:t xml:space="preserve">  </w:t>
            </w:r>
            <w:r w:rsidR="007C14B7" w:rsidRPr="008E7777">
              <w:rPr>
                <w:b/>
                <w:color w:val="000000" w:themeColor="text1"/>
                <w:kern w:val="24"/>
                <w:sz w:val="20"/>
                <w:szCs w:val="20"/>
              </w:rPr>
              <w:t xml:space="preserve">  </w:t>
            </w:r>
            <w:r w:rsidRPr="008E7777">
              <w:rPr>
                <w:b/>
                <w:color w:val="000000" w:themeColor="text1"/>
                <w:kern w:val="24"/>
                <w:sz w:val="20"/>
                <w:szCs w:val="20"/>
              </w:rPr>
              <w:t>203</w:t>
            </w:r>
            <w:r w:rsidR="00F73AE3" w:rsidRPr="008E7777">
              <w:rPr>
                <w:b/>
                <w:color w:val="000000" w:themeColor="text1"/>
                <w:kern w:val="24"/>
                <w:sz w:val="20"/>
                <w:szCs w:val="20"/>
              </w:rPr>
              <w:t>4</w:t>
            </w:r>
          </w:p>
        </w:tc>
      </w:tr>
      <w:tr w:rsidR="009E28B8" w:rsidRPr="00B225E0" w14:paraId="26BCC438"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2C76B937" w14:textId="1905FEB1" w:rsidR="009E28B8" w:rsidRPr="00BA09A3" w:rsidRDefault="009E28B8" w:rsidP="00792363">
            <w:pPr>
              <w:spacing w:before="0" w:after="0" w:line="240" w:lineRule="auto"/>
              <w:rPr>
                <w:color w:val="000000"/>
                <w:sz w:val="20"/>
                <w:szCs w:val="20"/>
              </w:rPr>
            </w:pPr>
            <w:r w:rsidRPr="00BA09A3">
              <w:rPr>
                <w:b/>
                <w:bCs/>
                <w:color w:val="000000"/>
                <w:sz w:val="20"/>
                <w:szCs w:val="20"/>
              </w:rPr>
              <w:t>Kraft</w:t>
            </w:r>
            <w:r w:rsidR="006E72A3">
              <w:rPr>
                <w:b/>
                <w:bCs/>
                <w:color w:val="000000"/>
                <w:sz w:val="20"/>
                <w:szCs w:val="20"/>
              </w:rPr>
              <w:t xml:space="preserve"> (Grumman Rd)</w:t>
            </w:r>
          </w:p>
        </w:tc>
        <w:tc>
          <w:tcPr>
            <w:tcW w:w="1201"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hideMark/>
          </w:tcPr>
          <w:p w14:paraId="61AC3AC3"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w:t>
            </w:r>
          </w:p>
        </w:tc>
        <w:tc>
          <w:tcPr>
            <w:tcW w:w="1538"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hideMark/>
          </w:tcPr>
          <w:p w14:paraId="27572521" w14:textId="77777777" w:rsidR="009E28B8" w:rsidRPr="00BA09A3" w:rsidRDefault="009E28B8" w:rsidP="00792363">
            <w:pPr>
              <w:spacing w:before="0" w:after="0" w:line="240" w:lineRule="auto"/>
              <w:ind w:left="360"/>
              <w:jc w:val="center"/>
              <w:rPr>
                <w:color w:val="000000"/>
                <w:sz w:val="20"/>
                <w:szCs w:val="20"/>
              </w:rPr>
            </w:pPr>
          </w:p>
        </w:tc>
        <w:tc>
          <w:tcPr>
            <w:tcW w:w="1334" w:type="dxa"/>
            <w:tcBorders>
              <w:top w:val="nil"/>
              <w:left w:val="single" w:sz="12" w:space="0" w:color="FFFFFF" w:themeColor="background1"/>
              <w:bottom w:val="nil"/>
              <w:right w:val="single" w:sz="12" w:space="0" w:color="FFFFFF" w:themeColor="background1"/>
            </w:tcBorders>
            <w:shd w:val="clear" w:color="auto" w:fill="EAEAEA"/>
            <w:vAlign w:val="center"/>
          </w:tcPr>
          <w:p w14:paraId="78D12D06" w14:textId="2A026E6C"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1</w:t>
            </w:r>
          </w:p>
        </w:tc>
        <w:tc>
          <w:tcPr>
            <w:tcW w:w="1697"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hideMark/>
          </w:tcPr>
          <w:p w14:paraId="2567023B" w14:textId="77777777" w:rsidR="009E28B8" w:rsidRPr="008E7777" w:rsidRDefault="009E28B8" w:rsidP="00792363">
            <w:pPr>
              <w:spacing w:before="0" w:after="0" w:line="240" w:lineRule="auto"/>
              <w:ind w:left="216"/>
              <w:jc w:val="left"/>
              <w:rPr>
                <w:rFonts w:eastAsia="MS Mincho"/>
                <w:b/>
                <w:color w:val="000000"/>
                <w:sz w:val="20"/>
                <w:szCs w:val="20"/>
                <w:vertAlign w:val="superscript"/>
              </w:rPr>
            </w:pPr>
            <w:r w:rsidRPr="008E7777">
              <w:rPr>
                <w:b/>
                <w:color w:val="000000" w:themeColor="text1"/>
                <w:kern w:val="24"/>
                <w:sz w:val="20"/>
                <w:szCs w:val="20"/>
              </w:rPr>
              <w:t xml:space="preserve">  </w:t>
            </w:r>
            <w:r w:rsidR="007C14B7" w:rsidRPr="008E7777">
              <w:rPr>
                <w:b/>
                <w:color w:val="000000" w:themeColor="text1"/>
                <w:kern w:val="24"/>
                <w:sz w:val="20"/>
                <w:szCs w:val="20"/>
              </w:rPr>
              <w:t xml:space="preserve">  </w:t>
            </w:r>
            <w:r w:rsidR="00C16B54" w:rsidRPr="008E7777">
              <w:rPr>
                <w:b/>
                <w:color w:val="000000" w:themeColor="text1"/>
                <w:kern w:val="24"/>
                <w:sz w:val="20"/>
                <w:szCs w:val="20"/>
              </w:rPr>
              <w:t>2024</w:t>
            </w:r>
            <w:r w:rsidR="00C16B54" w:rsidRPr="008E7777">
              <w:rPr>
                <w:rFonts w:eastAsia="MS Mincho"/>
                <w:b/>
                <w:color w:val="000000"/>
                <w:sz w:val="20"/>
                <w:szCs w:val="20"/>
                <w:vertAlign w:val="superscript"/>
              </w:rPr>
              <w:t xml:space="preserve"> </w:t>
            </w:r>
            <w:r w:rsidRPr="008E7777">
              <w:rPr>
                <w:rFonts w:eastAsia="MS Mincho"/>
                <w:b/>
                <w:color w:val="000000"/>
                <w:sz w:val="20"/>
                <w:szCs w:val="20"/>
                <w:vertAlign w:val="superscript"/>
              </w:rPr>
              <w:t>A</w:t>
            </w:r>
          </w:p>
          <w:p w14:paraId="2A857098" w14:textId="77777777" w:rsidR="0064120D" w:rsidRPr="008E7777" w:rsidRDefault="0064120D" w:rsidP="00792363">
            <w:pPr>
              <w:spacing w:before="0" w:after="0" w:line="240" w:lineRule="auto"/>
              <w:ind w:left="216"/>
              <w:jc w:val="left"/>
              <w:rPr>
                <w:color w:val="000000"/>
                <w:sz w:val="20"/>
                <w:szCs w:val="20"/>
              </w:rPr>
            </w:pPr>
          </w:p>
          <w:p w14:paraId="5538381B" w14:textId="25A8593D" w:rsidR="0064120D" w:rsidRPr="008E7777" w:rsidRDefault="0064120D" w:rsidP="00792363">
            <w:pPr>
              <w:spacing w:before="0" w:after="0" w:line="240" w:lineRule="auto"/>
              <w:ind w:left="216"/>
              <w:jc w:val="left"/>
              <w:rPr>
                <w:color w:val="000000"/>
                <w:sz w:val="20"/>
                <w:szCs w:val="20"/>
              </w:rPr>
            </w:pPr>
          </w:p>
        </w:tc>
      </w:tr>
      <w:tr w:rsidR="0064120D" w:rsidRPr="00B225E0" w14:paraId="2E4B193F"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auto"/>
            <w:tcMar>
              <w:top w:w="22" w:type="dxa"/>
              <w:left w:w="81" w:type="dxa"/>
              <w:bottom w:w="22" w:type="dxa"/>
              <w:right w:w="81" w:type="dxa"/>
            </w:tcMar>
            <w:vAlign w:val="center"/>
          </w:tcPr>
          <w:p w14:paraId="49C551A7" w14:textId="3185655D" w:rsidR="0064120D" w:rsidRPr="0064120D" w:rsidRDefault="0064120D" w:rsidP="00792363">
            <w:pPr>
              <w:spacing w:before="0" w:after="0" w:line="240" w:lineRule="auto"/>
              <w:rPr>
                <w:b/>
                <w:color w:val="000000" w:themeColor="text1"/>
                <w:sz w:val="20"/>
                <w:szCs w:val="20"/>
              </w:rPr>
            </w:pPr>
            <w:r w:rsidRPr="0064120D">
              <w:rPr>
                <w:b/>
                <w:color w:val="000000" w:themeColor="text1"/>
                <w:sz w:val="20"/>
                <w:szCs w:val="20"/>
              </w:rPr>
              <w:t>McIntosh</w:t>
            </w:r>
          </w:p>
        </w:tc>
        <w:tc>
          <w:tcPr>
            <w:tcW w:w="1201"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31DA5753" w14:textId="709A873B" w:rsidR="0064120D" w:rsidRPr="00BA2051" w:rsidRDefault="0064120D" w:rsidP="00792363">
            <w:pPr>
              <w:spacing w:before="0" w:after="0" w:line="240" w:lineRule="auto"/>
              <w:jc w:val="center"/>
              <w:rPr>
                <w:color w:val="000000" w:themeColor="text1"/>
                <w:sz w:val="20"/>
                <w:szCs w:val="20"/>
              </w:rPr>
            </w:pPr>
            <w:r w:rsidRPr="00BA2051">
              <w:rPr>
                <w:color w:val="000000" w:themeColor="text1"/>
                <w:sz w:val="20"/>
                <w:szCs w:val="20"/>
              </w:rPr>
              <w:t>2</w:t>
            </w:r>
          </w:p>
        </w:tc>
        <w:tc>
          <w:tcPr>
            <w:tcW w:w="1538"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2054D4F5" w14:textId="77777777" w:rsidR="0064120D" w:rsidRPr="0064120D" w:rsidRDefault="0064120D" w:rsidP="00792363">
            <w:pPr>
              <w:spacing w:before="0" w:after="0" w:line="240" w:lineRule="auto"/>
              <w:ind w:left="360"/>
              <w:jc w:val="center"/>
              <w:rPr>
                <w:b/>
                <w:color w:val="000000" w:themeColor="text1"/>
                <w:sz w:val="20"/>
                <w:szCs w:val="20"/>
              </w:rPr>
            </w:pPr>
          </w:p>
        </w:tc>
        <w:tc>
          <w:tcPr>
            <w:tcW w:w="1334" w:type="dxa"/>
            <w:tcBorders>
              <w:top w:val="nil"/>
              <w:left w:val="single" w:sz="12" w:space="0" w:color="FFFFFF" w:themeColor="background1"/>
              <w:bottom w:val="nil"/>
              <w:right w:val="single" w:sz="12" w:space="0" w:color="FFFFFF" w:themeColor="background1"/>
            </w:tcBorders>
            <w:shd w:val="clear" w:color="auto" w:fill="auto"/>
            <w:vAlign w:val="center"/>
          </w:tcPr>
          <w:p w14:paraId="717A919E" w14:textId="1A62C61B" w:rsidR="0064120D" w:rsidRPr="0064120D" w:rsidRDefault="0064120D" w:rsidP="00792363">
            <w:pPr>
              <w:spacing w:before="0" w:after="0" w:line="240" w:lineRule="auto"/>
              <w:ind w:left="18"/>
              <w:jc w:val="center"/>
              <w:rPr>
                <w:b/>
                <w:color w:val="000000" w:themeColor="text1"/>
                <w:sz w:val="20"/>
                <w:szCs w:val="20"/>
              </w:rPr>
            </w:pPr>
            <w:r w:rsidRPr="0064120D">
              <w:rPr>
                <w:b/>
                <w:color w:val="000000" w:themeColor="text1"/>
                <w:sz w:val="20"/>
                <w:szCs w:val="20"/>
              </w:rPr>
              <w:t>2</w:t>
            </w:r>
          </w:p>
        </w:tc>
        <w:tc>
          <w:tcPr>
            <w:tcW w:w="1697" w:type="dxa"/>
            <w:tcBorders>
              <w:top w:val="nil"/>
              <w:left w:val="single" w:sz="12" w:space="0" w:color="FFFFFF" w:themeColor="background1"/>
              <w:bottom w:val="nil"/>
              <w:right w:val="single" w:sz="4" w:space="0" w:color="auto"/>
            </w:tcBorders>
            <w:shd w:val="clear" w:color="auto" w:fill="auto"/>
            <w:tcMar>
              <w:top w:w="22" w:type="dxa"/>
              <w:left w:w="81" w:type="dxa"/>
              <w:bottom w:w="22" w:type="dxa"/>
              <w:right w:w="81" w:type="dxa"/>
            </w:tcMar>
            <w:vAlign w:val="center"/>
          </w:tcPr>
          <w:p w14:paraId="063159B5" w14:textId="4C535D37" w:rsidR="0064120D" w:rsidRPr="008E7777" w:rsidRDefault="0064120D" w:rsidP="00792363">
            <w:pPr>
              <w:spacing w:before="0" w:after="0" w:line="240" w:lineRule="auto"/>
              <w:ind w:left="216"/>
              <w:jc w:val="left"/>
              <w:rPr>
                <w:b/>
                <w:color w:val="000000" w:themeColor="text1"/>
                <w:sz w:val="20"/>
                <w:szCs w:val="20"/>
              </w:rPr>
            </w:pPr>
            <w:r w:rsidRPr="008E7777">
              <w:rPr>
                <w:b/>
                <w:color w:val="000000" w:themeColor="text1"/>
                <w:sz w:val="20"/>
                <w:szCs w:val="20"/>
              </w:rPr>
              <w:t xml:space="preserve">    2023</w:t>
            </w:r>
            <w:r w:rsidRPr="008E7777">
              <w:rPr>
                <w:b/>
                <w:color w:val="000000" w:themeColor="text1"/>
                <w:sz w:val="20"/>
                <w:szCs w:val="20"/>
                <w:vertAlign w:val="superscript"/>
              </w:rPr>
              <w:t>2</w:t>
            </w:r>
          </w:p>
        </w:tc>
      </w:tr>
      <w:tr w:rsidR="009E28B8" w:rsidRPr="00B225E0" w14:paraId="319BD62F"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tcPr>
          <w:p w14:paraId="4BB9761C" w14:textId="77777777" w:rsidR="009E28B8" w:rsidRPr="00BA09A3" w:rsidRDefault="009E28B8" w:rsidP="00792363">
            <w:pPr>
              <w:spacing w:before="0" w:after="0" w:line="240" w:lineRule="auto"/>
              <w:rPr>
                <w:b/>
                <w:bCs/>
                <w:color w:val="000000"/>
                <w:sz w:val="20"/>
                <w:szCs w:val="20"/>
              </w:rPr>
            </w:pPr>
            <w:r w:rsidRPr="00BA09A3">
              <w:rPr>
                <w:b/>
                <w:bCs/>
                <w:color w:val="000000"/>
                <w:sz w:val="20"/>
                <w:szCs w:val="20"/>
              </w:rPr>
              <w:t>Scherer</w:t>
            </w:r>
          </w:p>
        </w:tc>
        <w:tc>
          <w:tcPr>
            <w:tcW w:w="1201"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24F4FC4C"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w:t>
            </w:r>
          </w:p>
        </w:tc>
        <w:tc>
          <w:tcPr>
            <w:tcW w:w="1538"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657FA734" w14:textId="77777777" w:rsidR="009E28B8" w:rsidRPr="00BA09A3" w:rsidRDefault="009E28B8" w:rsidP="00792363">
            <w:pPr>
              <w:spacing w:before="0" w:after="0" w:line="240" w:lineRule="auto"/>
              <w:ind w:left="360"/>
              <w:jc w:val="center"/>
              <w:rPr>
                <w:color w:val="000000"/>
                <w:sz w:val="20"/>
                <w:szCs w:val="20"/>
              </w:rPr>
            </w:pPr>
          </w:p>
        </w:tc>
        <w:tc>
          <w:tcPr>
            <w:tcW w:w="1334" w:type="dxa"/>
            <w:tcBorders>
              <w:top w:val="nil"/>
              <w:left w:val="single" w:sz="12" w:space="0" w:color="FFFFFF" w:themeColor="background1"/>
              <w:bottom w:val="nil"/>
              <w:right w:val="single" w:sz="12" w:space="0" w:color="FFFFFF" w:themeColor="background1"/>
            </w:tcBorders>
            <w:shd w:val="clear" w:color="auto" w:fill="EAEAEA"/>
            <w:vAlign w:val="center"/>
          </w:tcPr>
          <w:p w14:paraId="63076086" w14:textId="1CB451B7"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1</w:t>
            </w:r>
          </w:p>
        </w:tc>
        <w:tc>
          <w:tcPr>
            <w:tcW w:w="1697"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tcPr>
          <w:p w14:paraId="6D3E6D8C" w14:textId="02D1FB8A" w:rsidR="009E28B8" w:rsidRPr="00BA09A3" w:rsidRDefault="009E28B8" w:rsidP="00792363">
            <w:pPr>
              <w:spacing w:before="0" w:after="0" w:line="240" w:lineRule="auto"/>
              <w:ind w:left="216"/>
              <w:jc w:val="left"/>
              <w:rPr>
                <w:b/>
                <w:bCs/>
                <w:color w:val="000000"/>
                <w:sz w:val="20"/>
                <w:szCs w:val="20"/>
              </w:rPr>
            </w:pPr>
            <w:r w:rsidRPr="00BA09A3">
              <w:rPr>
                <w:b/>
                <w:color w:val="000000" w:themeColor="text1"/>
                <w:kern w:val="24"/>
                <w:sz w:val="20"/>
                <w:szCs w:val="20"/>
              </w:rPr>
              <w:t xml:space="preserve">  </w:t>
            </w:r>
            <w:r w:rsidR="007C14B7">
              <w:rPr>
                <w:b/>
                <w:color w:val="000000" w:themeColor="text1"/>
                <w:kern w:val="24"/>
                <w:sz w:val="20"/>
                <w:szCs w:val="20"/>
              </w:rPr>
              <w:t xml:space="preserve">  </w:t>
            </w:r>
            <w:r w:rsidRPr="00BA09A3">
              <w:rPr>
                <w:b/>
                <w:color w:val="000000" w:themeColor="text1"/>
                <w:kern w:val="24"/>
                <w:sz w:val="20"/>
                <w:szCs w:val="20"/>
              </w:rPr>
              <w:t>2046</w:t>
            </w:r>
          </w:p>
        </w:tc>
      </w:tr>
      <w:tr w:rsidR="009E28B8" w:rsidRPr="00B225E0" w14:paraId="72F3D46F"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auto"/>
            <w:tcMar>
              <w:top w:w="22" w:type="dxa"/>
              <w:left w:w="81" w:type="dxa"/>
              <w:bottom w:w="22" w:type="dxa"/>
              <w:right w:w="81" w:type="dxa"/>
            </w:tcMar>
            <w:vAlign w:val="center"/>
          </w:tcPr>
          <w:p w14:paraId="427492F4" w14:textId="77777777" w:rsidR="009E28B8" w:rsidRPr="00BA09A3" w:rsidRDefault="009E28B8" w:rsidP="00792363">
            <w:pPr>
              <w:spacing w:before="0" w:after="0" w:line="240" w:lineRule="auto"/>
              <w:rPr>
                <w:color w:val="000000"/>
                <w:sz w:val="20"/>
                <w:szCs w:val="20"/>
              </w:rPr>
            </w:pPr>
            <w:r w:rsidRPr="00BA09A3">
              <w:rPr>
                <w:b/>
                <w:bCs/>
                <w:color w:val="000000" w:themeColor="text1"/>
                <w:sz w:val="20"/>
                <w:szCs w:val="20"/>
              </w:rPr>
              <w:t>Wansley</w:t>
            </w:r>
          </w:p>
        </w:tc>
        <w:tc>
          <w:tcPr>
            <w:tcW w:w="1201"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0D36783B"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w:t>
            </w:r>
          </w:p>
        </w:tc>
        <w:tc>
          <w:tcPr>
            <w:tcW w:w="1538"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7DAF1DE3" w14:textId="77777777" w:rsidR="009E28B8" w:rsidRPr="00BA09A3" w:rsidRDefault="009E28B8" w:rsidP="00792363">
            <w:pPr>
              <w:spacing w:before="0" w:after="0" w:line="240" w:lineRule="auto"/>
              <w:ind w:left="18"/>
              <w:jc w:val="center"/>
              <w:rPr>
                <w:color w:val="000000"/>
                <w:sz w:val="20"/>
                <w:szCs w:val="20"/>
              </w:rPr>
            </w:pPr>
          </w:p>
        </w:tc>
        <w:tc>
          <w:tcPr>
            <w:tcW w:w="1334" w:type="dxa"/>
            <w:tcBorders>
              <w:top w:val="nil"/>
              <w:left w:val="single" w:sz="12" w:space="0" w:color="FFFFFF" w:themeColor="background1"/>
              <w:bottom w:val="nil"/>
              <w:right w:val="single" w:sz="12" w:space="0" w:color="FFFFFF" w:themeColor="background1"/>
            </w:tcBorders>
            <w:vAlign w:val="center"/>
          </w:tcPr>
          <w:p w14:paraId="2D60271E" w14:textId="4CAF9D4A" w:rsidR="009E28B8" w:rsidRPr="00BA09A3" w:rsidRDefault="009E28B8" w:rsidP="00792363">
            <w:pPr>
              <w:spacing w:before="0" w:after="0" w:line="240" w:lineRule="auto"/>
              <w:jc w:val="center"/>
              <w:rPr>
                <w:b/>
                <w:bCs/>
                <w:color w:val="000000"/>
                <w:sz w:val="20"/>
                <w:szCs w:val="20"/>
              </w:rPr>
            </w:pPr>
            <w:r w:rsidRPr="00BA09A3">
              <w:rPr>
                <w:b/>
                <w:bCs/>
                <w:color w:val="000000"/>
                <w:sz w:val="20"/>
                <w:szCs w:val="20"/>
              </w:rPr>
              <w:t>1</w:t>
            </w:r>
          </w:p>
        </w:tc>
        <w:tc>
          <w:tcPr>
            <w:tcW w:w="1697" w:type="dxa"/>
            <w:tcBorders>
              <w:top w:val="nil"/>
              <w:left w:val="single" w:sz="12" w:space="0" w:color="FFFFFF" w:themeColor="background1"/>
              <w:bottom w:val="nil"/>
              <w:right w:val="single" w:sz="4" w:space="0" w:color="auto"/>
            </w:tcBorders>
            <w:shd w:val="clear" w:color="auto" w:fill="auto"/>
            <w:tcMar>
              <w:top w:w="22" w:type="dxa"/>
              <w:left w:w="81" w:type="dxa"/>
              <w:bottom w:w="22" w:type="dxa"/>
              <w:right w:w="81" w:type="dxa"/>
            </w:tcMar>
            <w:vAlign w:val="center"/>
          </w:tcPr>
          <w:p w14:paraId="421A7EFB" w14:textId="219CD214" w:rsidR="009E28B8" w:rsidRPr="00BA09A3" w:rsidRDefault="009E28B8" w:rsidP="00792363">
            <w:pPr>
              <w:spacing w:before="0" w:after="0" w:line="240" w:lineRule="auto"/>
              <w:ind w:left="216"/>
              <w:jc w:val="left"/>
              <w:rPr>
                <w:color w:val="000000"/>
                <w:sz w:val="20"/>
                <w:szCs w:val="20"/>
              </w:rPr>
            </w:pPr>
            <w:r w:rsidRPr="00BA09A3">
              <w:rPr>
                <w:b/>
                <w:color w:val="000000" w:themeColor="text1"/>
                <w:kern w:val="24"/>
                <w:sz w:val="20"/>
                <w:szCs w:val="20"/>
              </w:rPr>
              <w:t xml:space="preserve">  </w:t>
            </w:r>
            <w:r w:rsidR="007C14B7">
              <w:rPr>
                <w:b/>
                <w:color w:val="000000" w:themeColor="text1"/>
                <w:kern w:val="24"/>
                <w:sz w:val="20"/>
                <w:szCs w:val="20"/>
              </w:rPr>
              <w:t xml:space="preserve">  </w:t>
            </w:r>
            <w:r w:rsidRPr="006D6215">
              <w:rPr>
                <w:b/>
                <w:bCs/>
                <w:color w:val="000000" w:themeColor="text1"/>
                <w:kern w:val="24"/>
                <w:sz w:val="20"/>
                <w:szCs w:val="20"/>
              </w:rPr>
              <w:t>203</w:t>
            </w:r>
            <w:r w:rsidR="00FB2AA0" w:rsidRPr="006D6215">
              <w:rPr>
                <w:b/>
                <w:bCs/>
                <w:color w:val="000000" w:themeColor="text1"/>
                <w:kern w:val="24"/>
                <w:sz w:val="20"/>
                <w:szCs w:val="20"/>
              </w:rPr>
              <w:t>5</w:t>
            </w:r>
          </w:p>
        </w:tc>
      </w:tr>
      <w:tr w:rsidR="009E28B8" w:rsidRPr="00B225E0" w14:paraId="0849B8E3" w14:textId="77777777" w:rsidTr="008947B7">
        <w:trPr>
          <w:trHeight w:hRule="exact" w:val="288"/>
          <w:jc w:val="center"/>
        </w:trPr>
        <w:tc>
          <w:tcPr>
            <w:tcW w:w="2605" w:type="dxa"/>
            <w:tcBorders>
              <w:top w:val="nil"/>
              <w:left w:val="single" w:sz="4" w:space="0" w:color="auto"/>
              <w:bottom w:val="nil"/>
              <w:right w:val="single" w:sz="12" w:space="0" w:color="FFFFFF" w:themeColor="background1"/>
            </w:tcBorders>
            <w:shd w:val="clear" w:color="auto" w:fill="EAEAEA"/>
            <w:tcMar>
              <w:top w:w="22" w:type="dxa"/>
              <w:left w:w="81" w:type="dxa"/>
              <w:bottom w:w="22" w:type="dxa"/>
              <w:right w:w="81" w:type="dxa"/>
            </w:tcMar>
            <w:vAlign w:val="center"/>
          </w:tcPr>
          <w:p w14:paraId="0F299A17" w14:textId="77777777" w:rsidR="009E28B8" w:rsidRPr="00BA09A3" w:rsidRDefault="009E28B8" w:rsidP="00792363">
            <w:pPr>
              <w:spacing w:before="0" w:after="0" w:line="240" w:lineRule="auto"/>
              <w:rPr>
                <w:b/>
                <w:bCs/>
                <w:color w:val="000000"/>
                <w:sz w:val="20"/>
                <w:szCs w:val="20"/>
              </w:rPr>
            </w:pPr>
            <w:r w:rsidRPr="00BA09A3">
              <w:rPr>
                <w:b/>
                <w:bCs/>
                <w:color w:val="000000"/>
                <w:sz w:val="20"/>
                <w:szCs w:val="20"/>
              </w:rPr>
              <w:t>Yates</w:t>
            </w:r>
          </w:p>
        </w:tc>
        <w:tc>
          <w:tcPr>
            <w:tcW w:w="1201"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4A093042" w14:textId="71CC2646" w:rsidR="009E28B8" w:rsidRPr="00CC5CF1" w:rsidRDefault="009E28B8" w:rsidP="00792363">
            <w:pPr>
              <w:spacing w:before="0" w:after="0" w:line="240" w:lineRule="auto"/>
              <w:jc w:val="center"/>
              <w:rPr>
                <w:color w:val="000000"/>
                <w:sz w:val="20"/>
                <w:szCs w:val="20"/>
                <w:vertAlign w:val="superscript"/>
              </w:rPr>
            </w:pPr>
            <w:r w:rsidRPr="00BA09A3">
              <w:rPr>
                <w:color w:val="000000"/>
                <w:sz w:val="20"/>
                <w:szCs w:val="20"/>
              </w:rPr>
              <w:t>2</w:t>
            </w:r>
            <w:r w:rsidR="00C16B54">
              <w:rPr>
                <w:color w:val="000000"/>
                <w:sz w:val="20"/>
                <w:szCs w:val="20"/>
                <w:vertAlign w:val="superscript"/>
              </w:rPr>
              <w:t>3</w:t>
            </w:r>
          </w:p>
        </w:tc>
        <w:tc>
          <w:tcPr>
            <w:tcW w:w="1538"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5D8D2DE4" w14:textId="77777777" w:rsidR="009E28B8" w:rsidRPr="00BA09A3" w:rsidRDefault="009E28B8" w:rsidP="00792363">
            <w:pPr>
              <w:spacing w:before="0" w:after="0" w:line="240" w:lineRule="auto"/>
              <w:ind w:left="18"/>
              <w:jc w:val="center"/>
              <w:rPr>
                <w:b/>
                <w:bCs/>
                <w:color w:val="000000"/>
                <w:sz w:val="20"/>
                <w:szCs w:val="20"/>
              </w:rPr>
            </w:pPr>
          </w:p>
        </w:tc>
        <w:tc>
          <w:tcPr>
            <w:tcW w:w="1334" w:type="dxa"/>
            <w:tcBorders>
              <w:top w:val="nil"/>
              <w:left w:val="single" w:sz="12" w:space="0" w:color="FFFFFF" w:themeColor="background1"/>
              <w:bottom w:val="nil"/>
              <w:right w:val="single" w:sz="12" w:space="0" w:color="FFFFFF" w:themeColor="background1"/>
            </w:tcBorders>
            <w:shd w:val="clear" w:color="auto" w:fill="EAEAEA"/>
            <w:vAlign w:val="center"/>
          </w:tcPr>
          <w:p w14:paraId="37B63384" w14:textId="0832087D" w:rsidR="009E28B8" w:rsidRPr="00BA09A3" w:rsidRDefault="009E28B8" w:rsidP="00792363">
            <w:pPr>
              <w:spacing w:before="0" w:after="0" w:line="240" w:lineRule="auto"/>
              <w:ind w:left="18"/>
              <w:jc w:val="center"/>
              <w:rPr>
                <w:b/>
                <w:bCs/>
                <w:color w:val="000000"/>
                <w:sz w:val="20"/>
                <w:szCs w:val="20"/>
              </w:rPr>
            </w:pPr>
            <w:r w:rsidRPr="00BA09A3">
              <w:rPr>
                <w:b/>
                <w:bCs/>
                <w:color w:val="000000"/>
                <w:sz w:val="20"/>
                <w:szCs w:val="20"/>
              </w:rPr>
              <w:t>2</w:t>
            </w:r>
          </w:p>
        </w:tc>
        <w:tc>
          <w:tcPr>
            <w:tcW w:w="1697"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tcPr>
          <w:p w14:paraId="0C265C79" w14:textId="08E182AC" w:rsidR="009E28B8" w:rsidRPr="00BA09A3" w:rsidRDefault="009E28B8" w:rsidP="00792363">
            <w:pPr>
              <w:spacing w:before="0" w:after="0" w:line="240" w:lineRule="auto"/>
              <w:ind w:left="216"/>
              <w:jc w:val="left"/>
              <w:rPr>
                <w:b/>
                <w:bCs/>
                <w:color w:val="000000"/>
                <w:sz w:val="20"/>
                <w:szCs w:val="20"/>
              </w:rPr>
            </w:pPr>
            <w:r w:rsidRPr="00BA09A3">
              <w:rPr>
                <w:b/>
                <w:color w:val="000000" w:themeColor="text1"/>
                <w:kern w:val="24"/>
                <w:sz w:val="20"/>
                <w:szCs w:val="20"/>
              </w:rPr>
              <w:t xml:space="preserve">  </w:t>
            </w:r>
            <w:r w:rsidR="007C14B7">
              <w:rPr>
                <w:b/>
                <w:color w:val="000000" w:themeColor="text1"/>
                <w:kern w:val="24"/>
                <w:sz w:val="20"/>
                <w:szCs w:val="20"/>
              </w:rPr>
              <w:t xml:space="preserve">  </w:t>
            </w:r>
            <w:r w:rsidRPr="006D6215">
              <w:rPr>
                <w:b/>
                <w:color w:val="000000"/>
                <w:sz w:val="20"/>
                <w:szCs w:val="20"/>
              </w:rPr>
              <w:t>202</w:t>
            </w:r>
            <w:r w:rsidR="00EB2C5E" w:rsidRPr="006D6215">
              <w:rPr>
                <w:b/>
                <w:color w:val="000000"/>
                <w:sz w:val="20"/>
                <w:szCs w:val="20"/>
              </w:rPr>
              <w:t>5</w:t>
            </w:r>
          </w:p>
        </w:tc>
      </w:tr>
      <w:tr w:rsidR="009E28B8" w:rsidRPr="00B225E0" w14:paraId="30D89834" w14:textId="77777777" w:rsidTr="00DB743D">
        <w:trPr>
          <w:trHeight w:hRule="exact" w:val="412"/>
          <w:jc w:val="center"/>
        </w:trPr>
        <w:tc>
          <w:tcPr>
            <w:tcW w:w="2605" w:type="dxa"/>
            <w:tcBorders>
              <w:top w:val="single" w:sz="18" w:space="0" w:color="707070"/>
              <w:left w:val="single" w:sz="4" w:space="0" w:color="auto"/>
              <w:bottom w:val="single" w:sz="4" w:space="0" w:color="auto"/>
              <w:right w:val="single" w:sz="12" w:space="0" w:color="FFFFFF" w:themeColor="background1"/>
            </w:tcBorders>
            <w:shd w:val="clear" w:color="auto" w:fill="FFFFFF" w:themeFill="background1"/>
            <w:tcMar>
              <w:top w:w="22" w:type="dxa"/>
              <w:left w:w="81" w:type="dxa"/>
              <w:bottom w:w="22" w:type="dxa"/>
              <w:right w:w="81" w:type="dxa"/>
            </w:tcMar>
            <w:vAlign w:val="center"/>
          </w:tcPr>
          <w:p w14:paraId="0F46A4B3" w14:textId="2BEDAF21" w:rsidR="009E28B8" w:rsidRPr="00BA2051" w:rsidRDefault="007A2300" w:rsidP="00BA2051">
            <w:pPr>
              <w:spacing w:before="0" w:after="0" w:line="240" w:lineRule="auto"/>
              <w:jc w:val="left"/>
              <w:rPr>
                <w:b/>
                <w:color w:val="000000"/>
                <w:sz w:val="20"/>
                <w:szCs w:val="20"/>
              </w:rPr>
            </w:pPr>
            <w:r w:rsidRPr="00BA2051">
              <w:rPr>
                <w:b/>
                <w:bCs/>
                <w:color w:val="000000"/>
                <w:sz w:val="20"/>
                <w:szCs w:val="20"/>
              </w:rPr>
              <w:t>Total</w:t>
            </w:r>
          </w:p>
        </w:tc>
        <w:tc>
          <w:tcPr>
            <w:tcW w:w="1201"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tcMar>
              <w:top w:w="43" w:type="dxa"/>
              <w:left w:w="81" w:type="dxa"/>
              <w:bottom w:w="22" w:type="dxa"/>
              <w:right w:w="81" w:type="dxa"/>
            </w:tcMar>
            <w:vAlign w:val="center"/>
          </w:tcPr>
          <w:p w14:paraId="24291E67" w14:textId="77777777" w:rsidR="009E28B8" w:rsidRPr="00BA09A3" w:rsidRDefault="009E28B8" w:rsidP="00792363">
            <w:pPr>
              <w:spacing w:before="0" w:after="0" w:line="240" w:lineRule="auto"/>
              <w:jc w:val="center"/>
              <w:rPr>
                <w:color w:val="000000"/>
                <w:sz w:val="20"/>
                <w:szCs w:val="20"/>
              </w:rPr>
            </w:pPr>
            <w:r w:rsidRPr="00BA09A3">
              <w:rPr>
                <w:color w:val="000000"/>
                <w:sz w:val="20"/>
                <w:szCs w:val="20"/>
              </w:rPr>
              <w:t>12</w:t>
            </w:r>
          </w:p>
        </w:tc>
        <w:tc>
          <w:tcPr>
            <w:tcW w:w="1538"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tcMar>
              <w:top w:w="43" w:type="dxa"/>
              <w:left w:w="81" w:type="dxa"/>
              <w:bottom w:w="22" w:type="dxa"/>
              <w:right w:w="81" w:type="dxa"/>
            </w:tcMar>
            <w:vAlign w:val="center"/>
          </w:tcPr>
          <w:p w14:paraId="588011CF" w14:textId="77777777" w:rsidR="009E28B8" w:rsidRPr="00BA09A3" w:rsidRDefault="009E28B8" w:rsidP="00792363">
            <w:pPr>
              <w:spacing w:before="0" w:after="0" w:line="240" w:lineRule="auto"/>
              <w:ind w:left="18"/>
              <w:jc w:val="center"/>
              <w:rPr>
                <w:color w:val="000000"/>
                <w:sz w:val="20"/>
                <w:szCs w:val="20"/>
              </w:rPr>
            </w:pPr>
            <w:r w:rsidRPr="00BA09A3">
              <w:rPr>
                <w:color w:val="000000"/>
                <w:sz w:val="20"/>
                <w:szCs w:val="20"/>
              </w:rPr>
              <w:t>2</w:t>
            </w:r>
          </w:p>
        </w:tc>
        <w:tc>
          <w:tcPr>
            <w:tcW w:w="1334"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vAlign w:val="center"/>
          </w:tcPr>
          <w:p w14:paraId="1D10E060" w14:textId="74A5B096" w:rsidR="009E28B8" w:rsidRPr="00BA09A3" w:rsidRDefault="009E28B8" w:rsidP="007A2300">
            <w:pPr>
              <w:spacing w:before="0" w:after="0" w:line="240" w:lineRule="auto"/>
              <w:ind w:left="18"/>
              <w:jc w:val="center"/>
              <w:rPr>
                <w:b/>
                <w:bCs/>
                <w:color w:val="000000"/>
                <w:sz w:val="20"/>
                <w:szCs w:val="20"/>
              </w:rPr>
            </w:pPr>
            <w:r w:rsidRPr="00BA09A3">
              <w:rPr>
                <w:b/>
                <w:bCs/>
                <w:color w:val="000000"/>
                <w:sz w:val="20"/>
                <w:szCs w:val="20"/>
              </w:rPr>
              <w:t>14</w:t>
            </w:r>
          </w:p>
        </w:tc>
        <w:tc>
          <w:tcPr>
            <w:tcW w:w="1697" w:type="dxa"/>
            <w:tcBorders>
              <w:top w:val="single" w:sz="18" w:space="0" w:color="707070"/>
              <w:left w:val="single" w:sz="12" w:space="0" w:color="FFFFFF" w:themeColor="background1"/>
              <w:bottom w:val="single" w:sz="4" w:space="0" w:color="auto"/>
              <w:right w:val="single" w:sz="4" w:space="0" w:color="auto"/>
            </w:tcBorders>
            <w:shd w:val="clear" w:color="auto" w:fill="FFFFFF" w:themeFill="background1"/>
            <w:tcMar>
              <w:top w:w="43" w:type="dxa"/>
              <w:left w:w="81" w:type="dxa"/>
              <w:bottom w:w="22" w:type="dxa"/>
              <w:right w:w="81" w:type="dxa"/>
            </w:tcMar>
            <w:vAlign w:val="center"/>
          </w:tcPr>
          <w:p w14:paraId="44381B79" w14:textId="13745C2A" w:rsidR="009E28B8" w:rsidRPr="00BA09A3" w:rsidRDefault="009E28B8" w:rsidP="00792363">
            <w:pPr>
              <w:spacing w:before="0" w:after="0" w:line="240" w:lineRule="auto"/>
              <w:ind w:left="18"/>
              <w:jc w:val="center"/>
              <w:rPr>
                <w:b/>
                <w:bCs/>
                <w:color w:val="000000"/>
                <w:sz w:val="20"/>
                <w:szCs w:val="20"/>
              </w:rPr>
            </w:pPr>
          </w:p>
        </w:tc>
      </w:tr>
    </w:tbl>
    <w:p w14:paraId="0053D192" w14:textId="4EA57732" w:rsidR="004E12DE" w:rsidRPr="00BA09A3" w:rsidRDefault="004E12DE" w:rsidP="009708E3">
      <w:pPr>
        <w:spacing w:after="0" w:line="240" w:lineRule="auto"/>
        <w:ind w:left="446" w:right="446"/>
        <w:rPr>
          <w:i/>
          <w:iCs/>
          <w:sz w:val="16"/>
          <w:szCs w:val="16"/>
        </w:rPr>
      </w:pPr>
      <w:r w:rsidRPr="00BA09A3">
        <w:rPr>
          <w:i/>
          <w:iCs/>
          <w:sz w:val="16"/>
          <w:szCs w:val="16"/>
          <w:vertAlign w:val="superscript"/>
        </w:rPr>
        <w:t xml:space="preserve">1 </w:t>
      </w:r>
      <w:r w:rsidRPr="00BA09A3">
        <w:rPr>
          <w:i/>
          <w:iCs/>
          <w:sz w:val="16"/>
          <w:szCs w:val="16"/>
        </w:rPr>
        <w:t>For those sites with multiple landfills or landfill cells, the date above reflects the last cell’s estimated closure construction completion date for the site.</w:t>
      </w:r>
      <w:r w:rsidRPr="00BA09A3" w:rsidDel="00B343C8">
        <w:rPr>
          <w:i/>
          <w:iCs/>
          <w:sz w:val="16"/>
          <w:szCs w:val="16"/>
        </w:rPr>
        <w:t xml:space="preserve"> </w:t>
      </w:r>
      <w:r w:rsidRPr="00BA09A3">
        <w:rPr>
          <w:i/>
          <w:iCs/>
          <w:sz w:val="16"/>
          <w:szCs w:val="16"/>
        </w:rPr>
        <w:t xml:space="preserve">The “Estimated Closure Construction Completion” date reflects the estimated end of closure construction and estimated completion of major restoration activities, which may go beyond the submittal of the Closure Certification Report </w:t>
      </w:r>
    </w:p>
    <w:p w14:paraId="292C48FE" w14:textId="77777777" w:rsidR="004E12DE" w:rsidRDefault="004E12DE" w:rsidP="007E6081">
      <w:pPr>
        <w:spacing w:before="0" w:after="0" w:line="240" w:lineRule="auto"/>
        <w:ind w:left="446" w:right="446"/>
        <w:rPr>
          <w:i/>
          <w:iCs/>
          <w:sz w:val="16"/>
          <w:szCs w:val="16"/>
        </w:rPr>
      </w:pPr>
      <w:r w:rsidRPr="00BA09A3" w:rsidDel="00A81BB0">
        <w:rPr>
          <w:i/>
          <w:iCs/>
          <w:sz w:val="16"/>
          <w:szCs w:val="16"/>
        </w:rPr>
        <w:t xml:space="preserve"> </w:t>
      </w:r>
      <w:r w:rsidRPr="00BA09A3">
        <w:rPr>
          <w:i/>
          <w:iCs/>
          <w:sz w:val="16"/>
          <w:szCs w:val="16"/>
          <w:vertAlign w:val="superscript"/>
        </w:rPr>
        <w:t>2</w:t>
      </w:r>
      <w:r w:rsidRPr="00BA09A3">
        <w:rPr>
          <w:i/>
          <w:sz w:val="16"/>
          <w:szCs w:val="16"/>
        </w:rPr>
        <w:t xml:space="preserve"> </w:t>
      </w:r>
      <w:r w:rsidRPr="00BA09A3">
        <w:rPr>
          <w:i/>
          <w:iCs/>
          <w:sz w:val="16"/>
          <w:szCs w:val="16"/>
        </w:rPr>
        <w:t>In 2023, a request was approved by the EPD to allow for the episodic disposal of CCR at Plant McIntosh.</w:t>
      </w:r>
    </w:p>
    <w:p w14:paraId="0244542C" w14:textId="7B371604" w:rsidR="00CC5CF1" w:rsidRPr="00CC5CF1" w:rsidRDefault="00CC5CF1" w:rsidP="007E6081">
      <w:pPr>
        <w:spacing w:before="0" w:after="0" w:line="240" w:lineRule="auto"/>
        <w:ind w:left="446" w:right="446"/>
        <w:rPr>
          <w:i/>
          <w:iCs/>
          <w:sz w:val="16"/>
          <w:szCs w:val="16"/>
        </w:rPr>
      </w:pPr>
      <w:r w:rsidRPr="00CC5CF1">
        <w:rPr>
          <w:i/>
          <w:iCs/>
          <w:sz w:val="16"/>
          <w:szCs w:val="16"/>
          <w:vertAlign w:val="superscript"/>
        </w:rPr>
        <w:t>3</w:t>
      </w:r>
      <w:r w:rsidRPr="00CC5CF1">
        <w:rPr>
          <w:i/>
          <w:iCs/>
          <w:sz w:val="16"/>
          <w:szCs w:val="16"/>
        </w:rPr>
        <w:t xml:space="preserve"> Plant Yates </w:t>
      </w:r>
      <w:r w:rsidRPr="00CC5CF1">
        <w:rPr>
          <w:rStyle w:val="CommentReference"/>
          <w:bCs/>
          <w:i/>
          <w:iCs/>
        </w:rPr>
        <w:t>Gypsum Landfill was released from its CCR permit on November 25, 2024.</w:t>
      </w:r>
    </w:p>
    <w:p w14:paraId="22F9036E" w14:textId="77777777" w:rsidR="004E12DE" w:rsidRPr="00BA09A3" w:rsidRDefault="004E12DE" w:rsidP="007E6081">
      <w:pPr>
        <w:tabs>
          <w:tab w:val="left" w:pos="8820"/>
        </w:tabs>
        <w:spacing w:before="0" w:after="0" w:line="240" w:lineRule="auto"/>
        <w:ind w:left="446" w:right="446"/>
        <w:rPr>
          <w:i/>
          <w:iCs/>
          <w:sz w:val="16"/>
          <w:szCs w:val="16"/>
        </w:rPr>
      </w:pPr>
      <w:r w:rsidRPr="00BA09A3">
        <w:rPr>
          <w:i/>
          <w:sz w:val="16"/>
          <w:szCs w:val="16"/>
          <w:vertAlign w:val="superscript"/>
        </w:rPr>
        <w:t>A</w:t>
      </w:r>
      <w:r w:rsidRPr="00BA09A3">
        <w:rPr>
          <w:i/>
          <w:sz w:val="16"/>
          <w:szCs w:val="16"/>
        </w:rPr>
        <w:t xml:space="preserve"> Denotes actual closure construction completion date.</w:t>
      </w:r>
    </w:p>
    <w:p w14:paraId="093A6BEE" w14:textId="3401AE07" w:rsidR="00756E07" w:rsidRPr="000C798F" w:rsidRDefault="00756E07" w:rsidP="000C798F">
      <w:pPr>
        <w:pStyle w:val="Heading1"/>
      </w:pPr>
      <w:bookmarkStart w:id="12" w:name="_Toc94197862"/>
      <w:bookmarkStart w:id="13" w:name="_Toc117253445"/>
      <w:bookmarkStart w:id="14" w:name="_Toc188252315"/>
      <w:r w:rsidRPr="000C798F">
        <w:lastRenderedPageBreak/>
        <w:t xml:space="preserve">2.0 </w:t>
      </w:r>
      <w:r w:rsidR="00621633" w:rsidRPr="000C798F">
        <w:t>Regulatory and Strategy Updates</w:t>
      </w:r>
      <w:bookmarkEnd w:id="12"/>
      <w:bookmarkEnd w:id="13"/>
      <w:bookmarkEnd w:id="14"/>
      <w:r w:rsidR="00DC575C" w:rsidRPr="000C798F">
        <w:tab/>
      </w:r>
    </w:p>
    <w:p w14:paraId="50F5259C" w14:textId="567E365F" w:rsidR="00C22976" w:rsidRDefault="00C22976" w:rsidP="000F14DE">
      <w:r>
        <w:t xml:space="preserve">The Company </w:t>
      </w:r>
      <w:r w:rsidR="00E03925">
        <w:t xml:space="preserve">routinely </w:t>
      </w:r>
      <w:r>
        <w:t xml:space="preserve">monitors </w:t>
      </w:r>
      <w:r w:rsidR="00881EAF">
        <w:t xml:space="preserve">and </w:t>
      </w:r>
      <w:r>
        <w:t>evaluate</w:t>
      </w:r>
      <w:r w:rsidR="00881EAF">
        <w:t>s</w:t>
      </w:r>
      <w:r>
        <w:t xml:space="preserve"> </w:t>
      </w:r>
      <w:r w:rsidR="00981A65">
        <w:t xml:space="preserve">environmental legislation and regulation </w:t>
      </w:r>
      <w:r w:rsidR="00881EAF">
        <w:t xml:space="preserve">applicable to electric generating units </w:t>
      </w:r>
      <w:r w:rsidR="00233FF2">
        <w:t xml:space="preserve">as a part of the </w:t>
      </w:r>
      <w:r w:rsidR="00C1642C">
        <w:t>ECS</w:t>
      </w:r>
      <w:r w:rsidR="00233FF2">
        <w:t xml:space="preserve"> process</w:t>
      </w:r>
      <w:r w:rsidR="00981A65">
        <w:t xml:space="preserve">. </w:t>
      </w:r>
      <w:r w:rsidR="00E84E28">
        <w:t xml:space="preserve">This includes </w:t>
      </w:r>
      <w:r w:rsidR="002A0D97">
        <w:t>federal requirements</w:t>
      </w:r>
      <w:r w:rsidR="00E84E28">
        <w:t xml:space="preserve"> stemming from the Clean Water Act</w:t>
      </w:r>
      <w:r w:rsidR="003C2D6F">
        <w:t xml:space="preserve"> (“CWA”)</w:t>
      </w:r>
      <w:r w:rsidR="00E84E28">
        <w:t>, Resource Conservation and Recovery Act</w:t>
      </w:r>
      <w:r w:rsidR="003C2D6F">
        <w:t xml:space="preserve"> (“RCRA”)</w:t>
      </w:r>
      <w:r w:rsidR="002A0D97">
        <w:t xml:space="preserve">, </w:t>
      </w:r>
      <w:r w:rsidR="00677A9E">
        <w:t xml:space="preserve">Clean Air Act (“CAA”), </w:t>
      </w:r>
      <w:r w:rsidR="002A0D97">
        <w:t xml:space="preserve">or other legislation, as well as relevant state </w:t>
      </w:r>
      <w:r w:rsidR="00A87AD3">
        <w:t xml:space="preserve">rules </w:t>
      </w:r>
      <w:r w:rsidR="002A0D97">
        <w:t>and permitting requirements.</w:t>
      </w:r>
      <w:r w:rsidR="00881EAF">
        <w:t xml:space="preserve"> </w:t>
      </w:r>
      <w:r w:rsidR="00675609">
        <w:t xml:space="preserve">These </w:t>
      </w:r>
      <w:r w:rsidR="00315718">
        <w:t xml:space="preserve">policy and </w:t>
      </w:r>
      <w:r w:rsidR="00675609">
        <w:t xml:space="preserve">regulatory reviews and the associated compliance strategy </w:t>
      </w:r>
      <w:r w:rsidR="00315718">
        <w:t xml:space="preserve">that results from the ECS process </w:t>
      </w:r>
      <w:r w:rsidR="00675609">
        <w:t xml:space="preserve">are categorized into water, </w:t>
      </w:r>
      <w:r w:rsidR="000740E6">
        <w:t xml:space="preserve">CCR, and air </w:t>
      </w:r>
      <w:r w:rsidR="00315718">
        <w:t xml:space="preserve">topics </w:t>
      </w:r>
      <w:r w:rsidR="00675609">
        <w:t xml:space="preserve">in the </w:t>
      </w:r>
      <w:r w:rsidR="00D6592C">
        <w:t xml:space="preserve">following </w:t>
      </w:r>
      <w:r w:rsidR="00675609">
        <w:t>subsections.</w:t>
      </w:r>
    </w:p>
    <w:p w14:paraId="172D8CAB" w14:textId="452FFEF6" w:rsidR="003D3D5E" w:rsidRPr="00DB743D" w:rsidRDefault="003D3D5E" w:rsidP="005F2F3E">
      <w:pPr>
        <w:pStyle w:val="Heading2"/>
      </w:pPr>
      <w:bookmarkStart w:id="15" w:name="_Toc188252316"/>
      <w:bookmarkStart w:id="16" w:name="_Toc94197868"/>
      <w:bookmarkStart w:id="17" w:name="_Toc117253446"/>
      <w:r w:rsidRPr="00DB743D">
        <w:rPr>
          <w:rFonts w:hint="eastAsia"/>
        </w:rPr>
        <w:t>2.</w:t>
      </w:r>
      <w:r w:rsidR="000740E6" w:rsidRPr="00DB743D">
        <w:rPr>
          <w:rFonts w:hint="eastAsia"/>
        </w:rPr>
        <w:t>1</w:t>
      </w:r>
      <w:r w:rsidRPr="00DB743D">
        <w:rPr>
          <w:rFonts w:hint="eastAsia"/>
        </w:rPr>
        <w:t xml:space="preserve"> </w:t>
      </w:r>
      <w:r w:rsidR="00CA5373" w:rsidRPr="00DB743D">
        <w:rPr>
          <w:rFonts w:hint="eastAsia"/>
        </w:rPr>
        <w:t>Water</w:t>
      </w:r>
      <w:r w:rsidRPr="00DB743D">
        <w:rPr>
          <w:rFonts w:hint="eastAsia"/>
        </w:rPr>
        <w:t xml:space="preserve"> Regulatory and Strategy Updates</w:t>
      </w:r>
      <w:bookmarkEnd w:id="15"/>
    </w:p>
    <w:bookmarkEnd w:id="16"/>
    <w:bookmarkEnd w:id="17"/>
    <w:p w14:paraId="11E85BAA" w14:textId="60F804C9" w:rsidR="00BE3E3C" w:rsidRDefault="00BE3E3C" w:rsidP="000F14DE">
      <w:r w:rsidRPr="00DB7156">
        <w:t xml:space="preserve">The water compliance strategy considers a variety of regulations related to water quality and </w:t>
      </w:r>
      <w:r>
        <w:t>use, including</w:t>
      </w:r>
      <w:r w:rsidRPr="00DB7156">
        <w:t xml:space="preserve"> both nationwide standards</w:t>
      </w:r>
      <w:r w:rsidR="005128A2">
        <w:t>,</w:t>
      </w:r>
      <w:r w:rsidRPr="00DB7156">
        <w:t xml:space="preserve"> as well as state requirements</w:t>
      </w:r>
      <w:r w:rsidR="001A788E">
        <w:t xml:space="preserve"> for the use </w:t>
      </w:r>
      <w:r>
        <w:t xml:space="preserve">and discharge </w:t>
      </w:r>
      <w:r w:rsidR="00763AA5">
        <w:t xml:space="preserve">of </w:t>
      </w:r>
      <w:r>
        <w:t>water.</w:t>
      </w:r>
      <w:r w:rsidRPr="00DB7156">
        <w:t xml:space="preserve"> </w:t>
      </w:r>
      <w:r w:rsidR="00B41E31">
        <w:t>Based on currently available</w:t>
      </w:r>
      <w:r w:rsidR="008B4396">
        <w:t xml:space="preserve"> information</w:t>
      </w:r>
      <w:r w:rsidR="00B41E31">
        <w:t>, t</w:t>
      </w:r>
      <w:r w:rsidR="00B41E31" w:rsidRPr="00DB7156">
        <w:t xml:space="preserve">he </w:t>
      </w:r>
      <w:r w:rsidR="00B41E31">
        <w:t xml:space="preserve">strategy to meet </w:t>
      </w:r>
      <w:r w:rsidR="00F7799B">
        <w:t xml:space="preserve">water compliance </w:t>
      </w:r>
      <w:r w:rsidR="00B41E31">
        <w:t>requirements is summarized in</w:t>
      </w:r>
      <w:r w:rsidR="00AF3FFA">
        <w:t xml:space="preserve"> </w:t>
      </w:r>
      <w:r w:rsidR="00AF3FFA">
        <w:rPr>
          <w:b/>
          <w:bCs/>
        </w:rPr>
        <w:t>Table 3</w:t>
      </w:r>
      <w:r w:rsidR="00C51B36">
        <w:t>.</w:t>
      </w:r>
      <w:r w:rsidR="00B41E31">
        <w:t xml:space="preserve"> </w:t>
      </w:r>
      <w:r w:rsidR="00C51B36">
        <w:t>T</w:t>
      </w:r>
      <w:r w:rsidR="00B41E31">
        <w:t xml:space="preserve">he areas of legislation, regulation, permitting, or other actions that set or are anticipated to set critical </w:t>
      </w:r>
      <w:r w:rsidR="00F7799B">
        <w:t>water</w:t>
      </w:r>
      <w:r w:rsidR="00B41E31">
        <w:t xml:space="preserve"> compliance requirements are </w:t>
      </w:r>
      <w:r w:rsidR="00B41E31" w:rsidRPr="00DB7156">
        <w:t>discussed below.</w:t>
      </w:r>
    </w:p>
    <w:p w14:paraId="5197C5DC" w14:textId="6210FE1B" w:rsidR="005872C9" w:rsidRPr="009944A6" w:rsidRDefault="005872C9" w:rsidP="009708E3">
      <w:pPr>
        <w:spacing w:after="0" w:line="276" w:lineRule="auto"/>
        <w:jc w:val="center"/>
        <w:rPr>
          <w:rFonts w:cs="Arial"/>
          <w:b/>
          <w:color w:val="171717" w:themeColor="background2" w:themeShade="1A"/>
          <w:sz w:val="20"/>
          <w:szCs w:val="20"/>
        </w:rPr>
      </w:pPr>
      <w:bookmarkStart w:id="18" w:name="_Ref129869901"/>
      <w:r w:rsidRPr="009944A6">
        <w:rPr>
          <w:rFonts w:cs="Arial"/>
          <w:b/>
          <w:color w:val="171717" w:themeColor="background2" w:themeShade="1A"/>
          <w:sz w:val="20"/>
          <w:szCs w:val="20"/>
        </w:rPr>
        <w:t xml:space="preserve">Table </w:t>
      </w:r>
      <w:r w:rsidR="009B5C8F" w:rsidRPr="009944A6">
        <w:rPr>
          <w:rFonts w:cs="Arial"/>
          <w:b/>
          <w:color w:val="171717" w:themeColor="background2" w:themeShade="1A"/>
          <w:sz w:val="20"/>
          <w:szCs w:val="20"/>
        </w:rPr>
        <w:fldChar w:fldCharType="begin"/>
      </w:r>
      <w:r w:rsidR="009B5C8F" w:rsidRPr="009944A6">
        <w:rPr>
          <w:rFonts w:cs="Arial"/>
          <w:b/>
          <w:color w:val="171717" w:themeColor="background2" w:themeShade="1A"/>
          <w:sz w:val="20"/>
          <w:szCs w:val="20"/>
        </w:rPr>
        <w:instrText xml:space="preserve"> SEQ Table  \* ARABIC \* MERGEFORMAT </w:instrText>
      </w:r>
      <w:r w:rsidR="009B5C8F" w:rsidRPr="009944A6">
        <w:rPr>
          <w:rFonts w:cs="Arial"/>
          <w:b/>
          <w:color w:val="171717" w:themeColor="background2" w:themeShade="1A"/>
          <w:sz w:val="20"/>
          <w:szCs w:val="20"/>
        </w:rPr>
        <w:fldChar w:fldCharType="separate"/>
      </w:r>
      <w:r w:rsidR="0043583C">
        <w:rPr>
          <w:rFonts w:cs="Arial"/>
          <w:b/>
          <w:noProof/>
          <w:color w:val="171717" w:themeColor="background2" w:themeShade="1A"/>
          <w:sz w:val="20"/>
          <w:szCs w:val="20"/>
        </w:rPr>
        <w:t>3</w:t>
      </w:r>
      <w:r w:rsidR="009B5C8F" w:rsidRPr="009944A6">
        <w:rPr>
          <w:rFonts w:cs="Arial"/>
          <w:b/>
          <w:color w:val="171717" w:themeColor="background2" w:themeShade="1A"/>
          <w:sz w:val="20"/>
          <w:szCs w:val="20"/>
        </w:rPr>
        <w:fldChar w:fldCharType="end"/>
      </w:r>
      <w:bookmarkEnd w:id="18"/>
      <w:r w:rsidR="005128A2">
        <w:rPr>
          <w:rFonts w:cs="Arial"/>
          <w:b/>
          <w:color w:val="171717" w:themeColor="background2" w:themeShade="1A"/>
          <w:sz w:val="20"/>
          <w:szCs w:val="20"/>
        </w:rPr>
        <w:t>.</w:t>
      </w:r>
      <w:r w:rsidRPr="009944A6">
        <w:rPr>
          <w:rFonts w:cs="Arial"/>
          <w:b/>
          <w:color w:val="171717" w:themeColor="background2" w:themeShade="1A"/>
          <w:sz w:val="20"/>
          <w:szCs w:val="20"/>
        </w:rPr>
        <w:t xml:space="preserve"> Cooling Type / Wastewater Treatment / ELG Technologies</w:t>
      </w:r>
    </w:p>
    <w:tbl>
      <w:tblPr>
        <w:tblW w:w="9645" w:type="dxa"/>
        <w:jc w:val="cente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628"/>
        <w:gridCol w:w="885"/>
        <w:gridCol w:w="1035"/>
        <w:gridCol w:w="856"/>
        <w:gridCol w:w="955"/>
        <w:gridCol w:w="1594"/>
        <w:gridCol w:w="1349"/>
        <w:gridCol w:w="1335"/>
        <w:gridCol w:w="9"/>
      </w:tblGrid>
      <w:tr w:rsidR="00AA39A7" w:rsidRPr="003008B2" w14:paraId="02A36E56" w14:textId="2A14788A" w:rsidTr="00FE51C9">
        <w:trPr>
          <w:gridAfter w:val="1"/>
          <w:wAfter w:w="9" w:type="dxa"/>
          <w:trHeight w:val="475"/>
          <w:jc w:val="center"/>
        </w:trPr>
        <w:tc>
          <w:tcPr>
            <w:tcW w:w="0" w:type="auto"/>
            <w:shd w:val="clear" w:color="auto" w:fill="E7E6E6" w:themeFill="background2"/>
            <w:noWrap/>
            <w:vAlign w:val="center"/>
            <w:hideMark/>
          </w:tcPr>
          <w:p w14:paraId="468E7664" w14:textId="77777777" w:rsidR="00AA39A7" w:rsidRPr="00DF1E1D" w:rsidRDefault="00AA39A7" w:rsidP="009708E3">
            <w:pPr>
              <w:spacing w:after="0" w:line="240" w:lineRule="auto"/>
              <w:jc w:val="left"/>
              <w:rPr>
                <w:rFonts w:eastAsia="Times New Roman" w:cs="Arial"/>
                <w:b/>
                <w:color w:val="000000"/>
                <w:sz w:val="19"/>
                <w:szCs w:val="19"/>
              </w:rPr>
            </w:pPr>
            <w:r w:rsidRPr="00DF1E1D">
              <w:rPr>
                <w:rFonts w:eastAsia="Times New Roman" w:cs="Arial"/>
                <w:b/>
                <w:color w:val="000000" w:themeColor="text1"/>
                <w:sz w:val="19"/>
                <w:szCs w:val="19"/>
              </w:rPr>
              <w:t>Unit</w:t>
            </w:r>
          </w:p>
        </w:tc>
        <w:tc>
          <w:tcPr>
            <w:tcW w:w="750" w:type="dxa"/>
            <w:shd w:val="clear" w:color="auto" w:fill="E7E6E6" w:themeFill="background2"/>
            <w:vAlign w:val="center"/>
            <w:hideMark/>
          </w:tcPr>
          <w:p w14:paraId="35176E56" w14:textId="026F27CC" w:rsidR="00AA39A7" w:rsidRPr="00DF1E1D" w:rsidRDefault="00AA39A7" w:rsidP="009708E3">
            <w:pPr>
              <w:spacing w:after="0" w:line="240" w:lineRule="auto"/>
              <w:jc w:val="left"/>
              <w:rPr>
                <w:rFonts w:eastAsia="Times New Roman" w:cs="Arial"/>
                <w:b/>
                <w:color w:val="000000"/>
                <w:sz w:val="19"/>
                <w:szCs w:val="19"/>
              </w:rPr>
            </w:pPr>
            <w:r w:rsidRPr="00DF1E1D">
              <w:rPr>
                <w:rFonts w:eastAsia="Times New Roman" w:cs="Arial"/>
                <w:b/>
                <w:color w:val="000000"/>
                <w:sz w:val="19"/>
                <w:szCs w:val="19"/>
              </w:rPr>
              <w:t xml:space="preserve">316(b) </w:t>
            </w:r>
          </w:p>
        </w:tc>
        <w:tc>
          <w:tcPr>
            <w:tcW w:w="1035" w:type="dxa"/>
            <w:shd w:val="clear" w:color="auto" w:fill="E7E6E6" w:themeFill="background2"/>
            <w:vAlign w:val="center"/>
            <w:hideMark/>
          </w:tcPr>
          <w:p w14:paraId="54660754" w14:textId="77777777" w:rsidR="00FE51C9" w:rsidRDefault="00AA39A7" w:rsidP="00FE51C9">
            <w:pPr>
              <w:spacing w:before="0" w:after="0" w:line="240" w:lineRule="auto"/>
              <w:jc w:val="left"/>
              <w:rPr>
                <w:rFonts w:eastAsia="Times New Roman" w:cs="Arial"/>
                <w:b/>
                <w:bCs/>
                <w:color w:val="000000"/>
                <w:sz w:val="19"/>
                <w:szCs w:val="19"/>
              </w:rPr>
            </w:pPr>
            <w:r w:rsidRPr="00DF1E1D">
              <w:rPr>
                <w:rFonts w:eastAsia="Times New Roman" w:cs="Arial"/>
                <w:b/>
                <w:color w:val="000000"/>
                <w:sz w:val="19"/>
                <w:szCs w:val="19"/>
              </w:rPr>
              <w:t xml:space="preserve">Low Volume </w:t>
            </w:r>
            <w:r w:rsidR="00DF1E1D" w:rsidRPr="00DF1E1D">
              <w:rPr>
                <w:rFonts w:eastAsia="Times New Roman" w:cs="Arial"/>
                <w:b/>
                <w:bCs/>
                <w:color w:val="000000"/>
                <w:sz w:val="19"/>
                <w:szCs w:val="19"/>
              </w:rPr>
              <w:t>Waste</w:t>
            </w:r>
          </w:p>
          <w:p w14:paraId="5EF09688" w14:textId="3B80B9D5" w:rsidR="00AA39A7" w:rsidRPr="00DF1E1D" w:rsidRDefault="00DF1E1D" w:rsidP="00FE51C9">
            <w:pPr>
              <w:spacing w:before="0" w:after="0" w:line="240" w:lineRule="auto"/>
              <w:jc w:val="left"/>
              <w:rPr>
                <w:rFonts w:eastAsia="Times New Roman" w:cs="Arial"/>
                <w:b/>
                <w:color w:val="000000"/>
                <w:sz w:val="19"/>
                <w:szCs w:val="19"/>
              </w:rPr>
            </w:pPr>
            <w:r w:rsidRPr="00DF1E1D">
              <w:rPr>
                <w:rFonts w:eastAsia="Times New Roman" w:cs="Arial"/>
                <w:b/>
                <w:bCs/>
                <w:color w:val="000000"/>
                <w:sz w:val="19"/>
                <w:szCs w:val="19"/>
              </w:rPr>
              <w:t>water</w:t>
            </w:r>
          </w:p>
        </w:tc>
        <w:tc>
          <w:tcPr>
            <w:tcW w:w="730" w:type="dxa"/>
            <w:shd w:val="clear" w:color="auto" w:fill="E7E6E6" w:themeFill="background2"/>
            <w:vAlign w:val="center"/>
            <w:hideMark/>
          </w:tcPr>
          <w:p w14:paraId="4ECBCF93" w14:textId="5CC19159" w:rsidR="00AA39A7" w:rsidRPr="00DF1E1D" w:rsidRDefault="00AA39A7" w:rsidP="009708E3">
            <w:pPr>
              <w:spacing w:after="0" w:line="240" w:lineRule="auto"/>
              <w:jc w:val="left"/>
              <w:rPr>
                <w:rFonts w:eastAsia="Times New Roman" w:cs="Arial"/>
                <w:b/>
                <w:color w:val="000000"/>
                <w:sz w:val="19"/>
                <w:szCs w:val="19"/>
              </w:rPr>
            </w:pPr>
            <w:r w:rsidRPr="00DF1E1D">
              <w:rPr>
                <w:rFonts w:eastAsia="Times New Roman" w:cs="Arial"/>
                <w:b/>
                <w:color w:val="000000"/>
                <w:sz w:val="19"/>
                <w:szCs w:val="19"/>
              </w:rPr>
              <w:t>Bottom Ash</w:t>
            </w:r>
          </w:p>
        </w:tc>
        <w:tc>
          <w:tcPr>
            <w:tcW w:w="799" w:type="dxa"/>
            <w:shd w:val="clear" w:color="auto" w:fill="E7E6E6" w:themeFill="background2"/>
            <w:vAlign w:val="center"/>
            <w:hideMark/>
          </w:tcPr>
          <w:p w14:paraId="7BE71104" w14:textId="77777777" w:rsidR="00AA39A7" w:rsidRPr="00DF1E1D" w:rsidRDefault="00AA39A7" w:rsidP="009708E3">
            <w:pPr>
              <w:spacing w:after="0" w:line="240" w:lineRule="auto"/>
              <w:jc w:val="left"/>
              <w:rPr>
                <w:rFonts w:eastAsia="Times New Roman" w:cs="Arial"/>
                <w:b/>
                <w:color w:val="000000"/>
                <w:sz w:val="19"/>
                <w:szCs w:val="19"/>
              </w:rPr>
            </w:pPr>
            <w:r w:rsidRPr="00DF1E1D">
              <w:rPr>
                <w:rFonts w:eastAsia="Times New Roman" w:cs="Arial"/>
                <w:b/>
                <w:color w:val="000000"/>
                <w:sz w:val="19"/>
                <w:szCs w:val="19"/>
              </w:rPr>
              <w:t>Fly Ash</w:t>
            </w:r>
          </w:p>
        </w:tc>
        <w:tc>
          <w:tcPr>
            <w:tcW w:w="0" w:type="auto"/>
            <w:shd w:val="clear" w:color="auto" w:fill="E7E6E6" w:themeFill="background2"/>
            <w:vAlign w:val="center"/>
            <w:hideMark/>
          </w:tcPr>
          <w:p w14:paraId="6A84C5C1" w14:textId="0481D50D" w:rsidR="00AA39A7" w:rsidRPr="00DF1E1D" w:rsidRDefault="00AA39A7" w:rsidP="009708E3">
            <w:pPr>
              <w:spacing w:after="0" w:line="240" w:lineRule="auto"/>
              <w:jc w:val="left"/>
              <w:rPr>
                <w:rFonts w:eastAsia="Times New Roman" w:cs="Arial"/>
                <w:b/>
                <w:color w:val="000000"/>
                <w:sz w:val="19"/>
                <w:szCs w:val="19"/>
              </w:rPr>
            </w:pPr>
            <w:r w:rsidRPr="00DF1E1D">
              <w:rPr>
                <w:rFonts w:eastAsia="Times New Roman" w:cs="Arial"/>
                <w:b/>
                <w:sz w:val="19"/>
                <w:szCs w:val="19"/>
              </w:rPr>
              <w:t>Scrubber Wastewater (2020 ELG)</w:t>
            </w:r>
          </w:p>
        </w:tc>
        <w:tc>
          <w:tcPr>
            <w:tcW w:w="0" w:type="auto"/>
            <w:shd w:val="clear" w:color="auto" w:fill="E7E6E6" w:themeFill="background2"/>
          </w:tcPr>
          <w:p w14:paraId="7567A102" w14:textId="765C8860" w:rsidR="00AA39A7" w:rsidRPr="00DF1E1D" w:rsidRDefault="00AA39A7" w:rsidP="009708E3">
            <w:pPr>
              <w:spacing w:after="0" w:line="240" w:lineRule="auto"/>
              <w:jc w:val="left"/>
              <w:rPr>
                <w:rFonts w:eastAsia="Times New Roman" w:cs="Arial"/>
                <w:b/>
                <w:sz w:val="19"/>
                <w:szCs w:val="19"/>
              </w:rPr>
            </w:pPr>
            <w:r w:rsidRPr="00DF1E1D">
              <w:rPr>
                <w:rFonts w:eastAsia="Times New Roman" w:cs="Arial"/>
                <w:b/>
                <w:sz w:val="19"/>
                <w:szCs w:val="19"/>
              </w:rPr>
              <w:t>Scrubber Wastewater (2024 ELG)</w:t>
            </w:r>
          </w:p>
        </w:tc>
        <w:tc>
          <w:tcPr>
            <w:tcW w:w="0" w:type="auto"/>
            <w:shd w:val="clear" w:color="auto" w:fill="E7E6E6" w:themeFill="background2"/>
          </w:tcPr>
          <w:p w14:paraId="6E61054B" w14:textId="4A787F96" w:rsidR="00AA39A7" w:rsidRPr="00DF1E1D" w:rsidRDefault="00A216F0" w:rsidP="009708E3">
            <w:pPr>
              <w:spacing w:after="0" w:line="240" w:lineRule="auto"/>
              <w:jc w:val="left"/>
              <w:rPr>
                <w:rFonts w:eastAsia="Times New Roman" w:cs="Arial"/>
                <w:b/>
                <w:sz w:val="19"/>
                <w:szCs w:val="19"/>
              </w:rPr>
            </w:pPr>
            <w:r w:rsidRPr="00DF1E1D">
              <w:rPr>
                <w:rFonts w:eastAsia="Times New Roman" w:cs="Arial"/>
                <w:b/>
                <w:sz w:val="19"/>
                <w:szCs w:val="19"/>
              </w:rPr>
              <w:t xml:space="preserve">Combustion Residual Leachate </w:t>
            </w:r>
          </w:p>
        </w:tc>
      </w:tr>
      <w:tr w:rsidR="00A216F0" w:rsidRPr="003008B2" w14:paraId="32D0A114" w14:textId="4F2E9B05" w:rsidTr="00FE51C9">
        <w:trPr>
          <w:gridAfter w:val="1"/>
          <w:wAfter w:w="9" w:type="dxa"/>
          <w:trHeight w:val="510"/>
          <w:jc w:val="center"/>
        </w:trPr>
        <w:tc>
          <w:tcPr>
            <w:tcW w:w="0" w:type="auto"/>
            <w:shd w:val="clear" w:color="auto" w:fill="auto"/>
            <w:noWrap/>
            <w:vAlign w:val="center"/>
            <w:hideMark/>
          </w:tcPr>
          <w:p w14:paraId="52CC77F6" w14:textId="0F9D3E10" w:rsidR="00A216F0" w:rsidRPr="00DF1E1D" w:rsidRDefault="00A216F0" w:rsidP="009708E3">
            <w:pPr>
              <w:spacing w:after="0" w:line="240" w:lineRule="auto"/>
              <w:jc w:val="left"/>
              <w:rPr>
                <w:rFonts w:eastAsia="Times New Roman" w:cs="Arial"/>
                <w:color w:val="000000"/>
                <w:sz w:val="19"/>
                <w:szCs w:val="19"/>
                <w:vertAlign w:val="superscript"/>
              </w:rPr>
            </w:pPr>
            <w:r w:rsidRPr="00DF1E1D">
              <w:rPr>
                <w:rFonts w:eastAsia="Times New Roman" w:cs="Arial"/>
                <w:color w:val="000000"/>
                <w:sz w:val="19"/>
                <w:szCs w:val="19"/>
              </w:rPr>
              <w:t>Bowen 1 &amp; 2</w:t>
            </w:r>
            <w:r w:rsidRPr="00DF1E1D">
              <w:rPr>
                <w:rFonts w:eastAsia="Times New Roman" w:cs="Arial"/>
                <w:color w:val="000000"/>
                <w:sz w:val="19"/>
                <w:szCs w:val="19"/>
                <w:vertAlign w:val="superscript"/>
              </w:rPr>
              <w:t>1</w:t>
            </w:r>
          </w:p>
        </w:tc>
        <w:tc>
          <w:tcPr>
            <w:tcW w:w="750" w:type="dxa"/>
            <w:shd w:val="clear" w:color="auto" w:fill="auto"/>
            <w:vAlign w:val="center"/>
            <w:hideMark/>
          </w:tcPr>
          <w:p w14:paraId="1F6A64A2" w14:textId="4EC1ACE8"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hideMark/>
          </w:tcPr>
          <w:p w14:paraId="4FA36B53" w14:textId="39A03259"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Phys</w:t>
            </w:r>
            <w:r w:rsidR="00FE51C9">
              <w:rPr>
                <w:rFonts w:eastAsia="Times New Roman" w:cs="Arial"/>
                <w:color w:val="000000"/>
                <w:sz w:val="19"/>
                <w:szCs w:val="19"/>
              </w:rPr>
              <w:t>-</w:t>
            </w:r>
            <w:r w:rsidRPr="00DF1E1D">
              <w:rPr>
                <w:rFonts w:eastAsia="Times New Roman" w:cs="Arial"/>
                <w:color w:val="000000"/>
                <w:sz w:val="19"/>
                <w:szCs w:val="19"/>
              </w:rPr>
              <w:t>Chem</w:t>
            </w:r>
          </w:p>
        </w:tc>
        <w:tc>
          <w:tcPr>
            <w:tcW w:w="730" w:type="dxa"/>
            <w:shd w:val="clear" w:color="auto" w:fill="auto"/>
            <w:noWrap/>
            <w:vAlign w:val="center"/>
            <w:hideMark/>
          </w:tcPr>
          <w:p w14:paraId="4B592C23" w14:textId="5C0AE94C" w:rsidR="00A216F0" w:rsidRPr="00DF1E1D" w:rsidRDefault="00FE51C9" w:rsidP="009708E3">
            <w:pPr>
              <w:spacing w:after="0" w:line="240" w:lineRule="auto"/>
              <w:jc w:val="left"/>
              <w:rPr>
                <w:rFonts w:eastAsia="Times New Roman" w:cs="Arial"/>
                <w:color w:val="000000"/>
                <w:sz w:val="19"/>
                <w:szCs w:val="19"/>
              </w:rPr>
            </w:pPr>
            <w:r>
              <w:rPr>
                <w:rFonts w:eastAsia="Times New Roman" w:cs="Arial"/>
                <w:color w:val="000000"/>
                <w:sz w:val="19"/>
                <w:szCs w:val="19"/>
              </w:rPr>
              <w:t>RMDC</w:t>
            </w:r>
          </w:p>
        </w:tc>
        <w:tc>
          <w:tcPr>
            <w:tcW w:w="799" w:type="dxa"/>
            <w:shd w:val="clear" w:color="auto" w:fill="auto"/>
            <w:noWrap/>
            <w:vAlign w:val="center"/>
            <w:hideMark/>
          </w:tcPr>
          <w:p w14:paraId="36FF2484"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Dry Handling</w:t>
            </w:r>
          </w:p>
        </w:tc>
        <w:tc>
          <w:tcPr>
            <w:tcW w:w="0" w:type="auto"/>
            <w:vMerge w:val="restart"/>
            <w:shd w:val="clear" w:color="auto" w:fill="auto"/>
            <w:noWrap/>
            <w:vAlign w:val="center"/>
            <w:hideMark/>
          </w:tcPr>
          <w:p w14:paraId="450AFB27" w14:textId="036D3FD2" w:rsidR="00A216F0" w:rsidRPr="00DF1E1D" w:rsidRDefault="00A216F0" w:rsidP="009708E3">
            <w:pPr>
              <w:spacing w:after="0" w:line="240" w:lineRule="auto"/>
              <w:jc w:val="left"/>
              <w:rPr>
                <w:rFonts w:eastAsia="Times New Roman" w:cs="Arial"/>
                <w:color w:val="000000"/>
                <w:sz w:val="19"/>
                <w:szCs w:val="19"/>
              </w:rPr>
            </w:pPr>
          </w:p>
          <w:p w14:paraId="7528A1B5" w14:textId="5151D624"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Phys-Chem-Bio</w:t>
            </w:r>
          </w:p>
        </w:tc>
        <w:tc>
          <w:tcPr>
            <w:tcW w:w="0" w:type="auto"/>
            <w:vMerge w:val="restart"/>
            <w:vAlign w:val="center"/>
          </w:tcPr>
          <w:p w14:paraId="1B2EAE51" w14:textId="5689BFB0" w:rsidR="00A216F0" w:rsidRPr="00DF1E1D" w:rsidRDefault="00A216F0"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Membrane</w:t>
            </w:r>
            <w:r w:rsidR="00B13AE6" w:rsidRPr="00DF1E1D">
              <w:rPr>
                <w:rFonts w:eastAsia="Times New Roman" w:cs="Arial"/>
                <w:color w:val="000000" w:themeColor="text1"/>
                <w:sz w:val="19"/>
                <w:szCs w:val="19"/>
              </w:rPr>
              <w:t>s</w:t>
            </w:r>
            <w:r w:rsidRPr="00DF1E1D">
              <w:rPr>
                <w:rFonts w:eastAsia="Times New Roman" w:cs="Arial"/>
                <w:color w:val="000000" w:themeColor="text1"/>
                <w:sz w:val="19"/>
                <w:szCs w:val="19"/>
              </w:rPr>
              <w:t xml:space="preserve"> +Evaporator/</w:t>
            </w:r>
          </w:p>
          <w:p w14:paraId="131A823D" w14:textId="617B7BEC" w:rsidR="00A216F0" w:rsidRPr="00DF1E1D" w:rsidRDefault="00393AAD"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Crystallizer</w:t>
            </w:r>
          </w:p>
        </w:tc>
        <w:tc>
          <w:tcPr>
            <w:tcW w:w="0" w:type="auto"/>
            <w:vMerge w:val="restart"/>
            <w:vAlign w:val="center"/>
          </w:tcPr>
          <w:p w14:paraId="7C240ECE" w14:textId="77777777" w:rsidR="00A216F0" w:rsidRPr="00DF1E1D" w:rsidRDefault="00A216F0"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Evaporator/</w:t>
            </w:r>
          </w:p>
          <w:p w14:paraId="49FDEC67" w14:textId="7E779CF0" w:rsidR="00A216F0" w:rsidRPr="00DF1E1D" w:rsidRDefault="006019F3"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Crystallizer</w:t>
            </w:r>
          </w:p>
        </w:tc>
      </w:tr>
      <w:tr w:rsidR="00A216F0" w:rsidRPr="003008B2" w14:paraId="75EDEB4E" w14:textId="6D45B104" w:rsidTr="00FE51C9">
        <w:trPr>
          <w:gridAfter w:val="1"/>
          <w:wAfter w:w="9" w:type="dxa"/>
          <w:trHeight w:val="510"/>
          <w:jc w:val="center"/>
        </w:trPr>
        <w:tc>
          <w:tcPr>
            <w:tcW w:w="0" w:type="auto"/>
            <w:shd w:val="clear" w:color="auto" w:fill="auto"/>
            <w:noWrap/>
            <w:vAlign w:val="center"/>
          </w:tcPr>
          <w:p w14:paraId="08C04DB7"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Bowen 3 &amp; 4</w:t>
            </w:r>
          </w:p>
        </w:tc>
        <w:tc>
          <w:tcPr>
            <w:tcW w:w="750" w:type="dxa"/>
            <w:shd w:val="clear" w:color="auto" w:fill="auto"/>
            <w:vAlign w:val="center"/>
          </w:tcPr>
          <w:p w14:paraId="3AC0C352" w14:textId="30B81D36"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tcPr>
          <w:p w14:paraId="1011EB6C" w14:textId="221C3E40" w:rsidR="00A216F0" w:rsidRPr="00DF1E1D" w:rsidRDefault="00FE51C9"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Phys</w:t>
            </w:r>
            <w:r>
              <w:rPr>
                <w:rFonts w:eastAsia="Times New Roman" w:cs="Arial"/>
                <w:color w:val="000000"/>
                <w:sz w:val="19"/>
                <w:szCs w:val="19"/>
              </w:rPr>
              <w:t>-</w:t>
            </w:r>
            <w:r w:rsidRPr="00DF1E1D">
              <w:rPr>
                <w:rFonts w:eastAsia="Times New Roman" w:cs="Arial"/>
                <w:color w:val="000000"/>
                <w:sz w:val="19"/>
                <w:szCs w:val="19"/>
              </w:rPr>
              <w:t>Chem</w:t>
            </w:r>
          </w:p>
        </w:tc>
        <w:tc>
          <w:tcPr>
            <w:tcW w:w="730" w:type="dxa"/>
            <w:shd w:val="clear" w:color="auto" w:fill="auto"/>
            <w:noWrap/>
            <w:vAlign w:val="center"/>
          </w:tcPr>
          <w:p w14:paraId="1A813E6A" w14:textId="2C005A02" w:rsidR="00A216F0" w:rsidRPr="00DF1E1D" w:rsidRDefault="00FE51C9" w:rsidP="009708E3">
            <w:pPr>
              <w:spacing w:after="0" w:line="240" w:lineRule="auto"/>
              <w:jc w:val="left"/>
              <w:rPr>
                <w:rFonts w:eastAsia="Times New Roman" w:cs="Arial"/>
                <w:color w:val="000000"/>
                <w:sz w:val="19"/>
                <w:szCs w:val="19"/>
              </w:rPr>
            </w:pPr>
            <w:r>
              <w:rPr>
                <w:rFonts w:eastAsia="Times New Roman" w:cs="Arial"/>
                <w:color w:val="000000"/>
                <w:sz w:val="19"/>
                <w:szCs w:val="19"/>
              </w:rPr>
              <w:t>RMDC</w:t>
            </w:r>
          </w:p>
        </w:tc>
        <w:tc>
          <w:tcPr>
            <w:tcW w:w="799" w:type="dxa"/>
            <w:shd w:val="clear" w:color="auto" w:fill="auto"/>
            <w:noWrap/>
            <w:vAlign w:val="center"/>
          </w:tcPr>
          <w:p w14:paraId="6B443A7A"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Dry Handling</w:t>
            </w:r>
          </w:p>
        </w:tc>
        <w:tc>
          <w:tcPr>
            <w:tcW w:w="0" w:type="auto"/>
            <w:vMerge/>
            <w:shd w:val="clear" w:color="auto" w:fill="auto"/>
            <w:noWrap/>
            <w:vAlign w:val="center"/>
          </w:tcPr>
          <w:p w14:paraId="33844F96" w14:textId="0406DDF1" w:rsidR="00A216F0" w:rsidRPr="00DF1E1D" w:rsidRDefault="00A216F0" w:rsidP="009708E3">
            <w:pPr>
              <w:spacing w:after="0" w:line="240" w:lineRule="auto"/>
              <w:jc w:val="left"/>
              <w:rPr>
                <w:rFonts w:eastAsia="Times New Roman" w:cs="Arial"/>
                <w:color w:val="000000"/>
                <w:sz w:val="19"/>
                <w:szCs w:val="19"/>
              </w:rPr>
            </w:pPr>
          </w:p>
        </w:tc>
        <w:tc>
          <w:tcPr>
            <w:tcW w:w="0" w:type="auto"/>
            <w:vMerge/>
          </w:tcPr>
          <w:p w14:paraId="220B1006" w14:textId="77777777" w:rsidR="00A216F0" w:rsidRPr="00DF1E1D" w:rsidRDefault="00A216F0" w:rsidP="009708E3">
            <w:pPr>
              <w:spacing w:after="0" w:line="240" w:lineRule="auto"/>
              <w:jc w:val="left"/>
              <w:rPr>
                <w:rFonts w:eastAsia="Times New Roman" w:cs="Arial"/>
                <w:color w:val="000000"/>
                <w:sz w:val="19"/>
                <w:szCs w:val="19"/>
              </w:rPr>
            </w:pPr>
          </w:p>
        </w:tc>
        <w:tc>
          <w:tcPr>
            <w:tcW w:w="0" w:type="auto"/>
            <w:vMerge/>
          </w:tcPr>
          <w:p w14:paraId="25A4E84E" w14:textId="77777777" w:rsidR="00A216F0" w:rsidRPr="00DF1E1D" w:rsidRDefault="00A216F0" w:rsidP="009708E3">
            <w:pPr>
              <w:spacing w:after="0" w:line="240" w:lineRule="auto"/>
              <w:jc w:val="left"/>
              <w:rPr>
                <w:rFonts w:eastAsia="Times New Roman" w:cs="Arial"/>
                <w:color w:val="000000"/>
                <w:sz w:val="19"/>
                <w:szCs w:val="19"/>
              </w:rPr>
            </w:pPr>
          </w:p>
        </w:tc>
      </w:tr>
      <w:tr w:rsidR="00AA39A7" w:rsidRPr="003008B2" w14:paraId="2EC2607F" w14:textId="19E64B3C" w:rsidTr="00FE51C9">
        <w:trPr>
          <w:gridAfter w:val="1"/>
          <w:wAfter w:w="9" w:type="dxa"/>
          <w:trHeight w:val="510"/>
          <w:jc w:val="center"/>
        </w:trPr>
        <w:tc>
          <w:tcPr>
            <w:tcW w:w="0" w:type="auto"/>
            <w:shd w:val="clear" w:color="auto" w:fill="auto"/>
            <w:noWrap/>
            <w:vAlign w:val="center"/>
            <w:hideMark/>
          </w:tcPr>
          <w:p w14:paraId="436909EB" w14:textId="5B33F458"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Gaston 1 – 4</w:t>
            </w:r>
            <w:r w:rsidRPr="00DF1E1D">
              <w:rPr>
                <w:rFonts w:eastAsia="Times New Roman" w:cs="Arial"/>
                <w:color w:val="000000"/>
                <w:sz w:val="19"/>
                <w:szCs w:val="19"/>
                <w:vertAlign w:val="superscript"/>
              </w:rPr>
              <w:t>1,2</w:t>
            </w:r>
          </w:p>
        </w:tc>
        <w:tc>
          <w:tcPr>
            <w:tcW w:w="750" w:type="dxa"/>
            <w:shd w:val="clear" w:color="auto" w:fill="auto"/>
            <w:vAlign w:val="center"/>
            <w:hideMark/>
          </w:tcPr>
          <w:p w14:paraId="4F1F9C6D"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themeColor="text1"/>
                <w:sz w:val="19"/>
                <w:szCs w:val="19"/>
              </w:rPr>
              <w:t>Intake Screens</w:t>
            </w:r>
          </w:p>
        </w:tc>
        <w:tc>
          <w:tcPr>
            <w:tcW w:w="1035" w:type="dxa"/>
            <w:shd w:val="clear" w:color="auto" w:fill="auto"/>
            <w:noWrap/>
            <w:vAlign w:val="center"/>
            <w:hideMark/>
          </w:tcPr>
          <w:p w14:paraId="0AC0DA17" w14:textId="6BF63AF4" w:rsidR="00AA39A7" w:rsidRPr="00DF1E1D" w:rsidRDefault="00FE51C9"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Phys</w:t>
            </w:r>
            <w:r>
              <w:rPr>
                <w:rFonts w:eastAsia="Times New Roman" w:cs="Arial"/>
                <w:color w:val="000000"/>
                <w:sz w:val="19"/>
                <w:szCs w:val="19"/>
              </w:rPr>
              <w:t>-</w:t>
            </w:r>
            <w:r w:rsidRPr="00DF1E1D">
              <w:rPr>
                <w:rFonts w:eastAsia="Times New Roman" w:cs="Arial"/>
                <w:color w:val="000000"/>
                <w:sz w:val="19"/>
                <w:szCs w:val="19"/>
              </w:rPr>
              <w:t>Chem</w:t>
            </w:r>
            <w:r>
              <w:rPr>
                <w:rFonts w:eastAsia="Times New Roman" w:cs="Arial"/>
                <w:color w:val="000000" w:themeColor="text1"/>
                <w:sz w:val="19"/>
                <w:szCs w:val="19"/>
              </w:rPr>
              <w:t>/ Pond</w:t>
            </w:r>
          </w:p>
        </w:tc>
        <w:tc>
          <w:tcPr>
            <w:tcW w:w="730" w:type="dxa"/>
            <w:shd w:val="clear" w:color="auto" w:fill="auto"/>
            <w:noWrap/>
            <w:vAlign w:val="center"/>
            <w:hideMark/>
          </w:tcPr>
          <w:p w14:paraId="237B6BB0" w14:textId="4CDCB368" w:rsidR="00AA39A7" w:rsidRPr="00DF1E1D" w:rsidRDefault="00FE51C9" w:rsidP="009708E3">
            <w:pPr>
              <w:spacing w:after="0" w:line="240" w:lineRule="auto"/>
              <w:jc w:val="left"/>
              <w:rPr>
                <w:rFonts w:eastAsia="Times New Roman" w:cs="Arial"/>
                <w:color w:val="000000"/>
                <w:sz w:val="19"/>
                <w:szCs w:val="19"/>
              </w:rPr>
            </w:pPr>
            <w:r>
              <w:rPr>
                <w:rFonts w:eastAsia="Times New Roman" w:cs="Arial"/>
                <w:color w:val="000000"/>
                <w:sz w:val="19"/>
                <w:szCs w:val="19"/>
              </w:rPr>
              <w:t>RMDC</w:t>
            </w:r>
          </w:p>
        </w:tc>
        <w:tc>
          <w:tcPr>
            <w:tcW w:w="799" w:type="dxa"/>
            <w:shd w:val="clear" w:color="auto" w:fill="auto"/>
            <w:noWrap/>
            <w:vAlign w:val="center"/>
            <w:hideMark/>
          </w:tcPr>
          <w:p w14:paraId="50DF15C7"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themeColor="text1"/>
                <w:sz w:val="19"/>
                <w:szCs w:val="19"/>
              </w:rPr>
              <w:t>Dry Handling</w:t>
            </w:r>
          </w:p>
        </w:tc>
        <w:tc>
          <w:tcPr>
            <w:tcW w:w="0" w:type="auto"/>
            <w:shd w:val="clear" w:color="auto" w:fill="auto"/>
            <w:noWrap/>
            <w:vAlign w:val="center"/>
            <w:hideMark/>
          </w:tcPr>
          <w:p w14:paraId="19536124"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themeColor="text1"/>
                <w:sz w:val="19"/>
                <w:szCs w:val="19"/>
              </w:rPr>
              <w:t>N/A</w:t>
            </w:r>
          </w:p>
        </w:tc>
        <w:tc>
          <w:tcPr>
            <w:tcW w:w="0" w:type="auto"/>
            <w:vAlign w:val="center"/>
          </w:tcPr>
          <w:p w14:paraId="27F408C0" w14:textId="00851192" w:rsidR="00AA39A7"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vAlign w:val="center"/>
          </w:tcPr>
          <w:p w14:paraId="32E10840" w14:textId="54FCA255" w:rsidR="00AA39A7"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r>
      <w:tr w:rsidR="00AA39A7" w:rsidRPr="003008B2" w14:paraId="6C31B431" w14:textId="015EDDEF" w:rsidTr="00FE51C9">
        <w:trPr>
          <w:gridAfter w:val="1"/>
          <w:wAfter w:w="9" w:type="dxa"/>
          <w:trHeight w:val="510"/>
          <w:jc w:val="center"/>
        </w:trPr>
        <w:tc>
          <w:tcPr>
            <w:tcW w:w="0" w:type="auto"/>
            <w:shd w:val="clear" w:color="auto" w:fill="auto"/>
            <w:noWrap/>
            <w:vAlign w:val="center"/>
            <w:hideMark/>
          </w:tcPr>
          <w:p w14:paraId="71FCA760" w14:textId="084D5742"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McDonough 4 – 6</w:t>
            </w:r>
          </w:p>
        </w:tc>
        <w:tc>
          <w:tcPr>
            <w:tcW w:w="750" w:type="dxa"/>
            <w:shd w:val="clear" w:color="auto" w:fill="auto"/>
            <w:vAlign w:val="center"/>
            <w:hideMark/>
          </w:tcPr>
          <w:p w14:paraId="205F950E" w14:textId="2DA384FC" w:rsidR="00AA39A7"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hideMark/>
          </w:tcPr>
          <w:p w14:paraId="0DE5FD60"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730" w:type="dxa"/>
            <w:shd w:val="clear" w:color="auto" w:fill="auto"/>
            <w:noWrap/>
            <w:vAlign w:val="center"/>
            <w:hideMark/>
          </w:tcPr>
          <w:p w14:paraId="4B3603B2"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799" w:type="dxa"/>
            <w:shd w:val="clear" w:color="auto" w:fill="auto"/>
            <w:noWrap/>
            <w:vAlign w:val="center"/>
            <w:hideMark/>
          </w:tcPr>
          <w:p w14:paraId="7238A9DD"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shd w:val="clear" w:color="auto" w:fill="auto"/>
            <w:noWrap/>
            <w:vAlign w:val="center"/>
            <w:hideMark/>
          </w:tcPr>
          <w:p w14:paraId="02D97A33" w14:textId="77777777" w:rsidR="00AA39A7" w:rsidRPr="00DF1E1D" w:rsidRDefault="00AA39A7"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vAlign w:val="center"/>
          </w:tcPr>
          <w:p w14:paraId="18F90EF9" w14:textId="1A3CFE2D" w:rsidR="00AA39A7"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vAlign w:val="center"/>
          </w:tcPr>
          <w:p w14:paraId="2F74B7CC" w14:textId="33E2FAC1" w:rsidR="00AA39A7"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r>
      <w:tr w:rsidR="00A216F0" w:rsidRPr="003008B2" w14:paraId="7CEE9EE9" w14:textId="257BB80F" w:rsidTr="00FE51C9">
        <w:trPr>
          <w:gridAfter w:val="1"/>
          <w:wAfter w:w="9" w:type="dxa"/>
          <w:trHeight w:val="510"/>
          <w:jc w:val="center"/>
        </w:trPr>
        <w:tc>
          <w:tcPr>
            <w:tcW w:w="0" w:type="auto"/>
            <w:shd w:val="clear" w:color="auto" w:fill="auto"/>
            <w:noWrap/>
            <w:vAlign w:val="center"/>
            <w:hideMark/>
          </w:tcPr>
          <w:p w14:paraId="49DAA873" w14:textId="4C7BCF71"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McIntosh 10 &amp; 11</w:t>
            </w:r>
          </w:p>
        </w:tc>
        <w:tc>
          <w:tcPr>
            <w:tcW w:w="750" w:type="dxa"/>
            <w:shd w:val="clear" w:color="auto" w:fill="auto"/>
            <w:vAlign w:val="center"/>
            <w:hideMark/>
          </w:tcPr>
          <w:p w14:paraId="2EC9495D" w14:textId="7F172D3A"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hideMark/>
          </w:tcPr>
          <w:p w14:paraId="7B105105"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Pond</w:t>
            </w:r>
          </w:p>
        </w:tc>
        <w:tc>
          <w:tcPr>
            <w:tcW w:w="730" w:type="dxa"/>
            <w:shd w:val="clear" w:color="auto" w:fill="auto"/>
            <w:noWrap/>
            <w:vAlign w:val="center"/>
            <w:hideMark/>
          </w:tcPr>
          <w:p w14:paraId="3C011DA9"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799" w:type="dxa"/>
            <w:shd w:val="clear" w:color="auto" w:fill="auto"/>
            <w:noWrap/>
            <w:vAlign w:val="center"/>
            <w:hideMark/>
          </w:tcPr>
          <w:p w14:paraId="11DBA527"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shd w:val="clear" w:color="auto" w:fill="auto"/>
            <w:noWrap/>
            <w:vAlign w:val="center"/>
            <w:hideMark/>
          </w:tcPr>
          <w:p w14:paraId="325B8AF5"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vAlign w:val="center"/>
          </w:tcPr>
          <w:p w14:paraId="2A0FAC59" w14:textId="1293FD6E"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vAlign w:val="center"/>
          </w:tcPr>
          <w:p w14:paraId="1650F0EB" w14:textId="526E0E05"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r>
      <w:tr w:rsidR="00A216F0" w:rsidRPr="003008B2" w14:paraId="6BA397FD" w14:textId="49C43108" w:rsidTr="00FE51C9">
        <w:trPr>
          <w:gridAfter w:val="1"/>
          <w:wAfter w:w="9" w:type="dxa"/>
          <w:trHeight w:val="510"/>
          <w:jc w:val="center"/>
        </w:trPr>
        <w:tc>
          <w:tcPr>
            <w:tcW w:w="0" w:type="auto"/>
            <w:shd w:val="clear" w:color="auto" w:fill="auto"/>
            <w:noWrap/>
            <w:vAlign w:val="center"/>
            <w:hideMark/>
          </w:tcPr>
          <w:p w14:paraId="69533C8A"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Scherer 1 &amp; 2</w:t>
            </w:r>
          </w:p>
        </w:tc>
        <w:tc>
          <w:tcPr>
            <w:tcW w:w="750" w:type="dxa"/>
            <w:shd w:val="clear" w:color="auto" w:fill="auto"/>
            <w:vAlign w:val="center"/>
            <w:hideMark/>
          </w:tcPr>
          <w:p w14:paraId="5D4C23E2" w14:textId="4345B719"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hideMark/>
          </w:tcPr>
          <w:p w14:paraId="4D0970E3" w14:textId="7450C06C" w:rsidR="00A216F0" w:rsidRPr="00DF1E1D" w:rsidRDefault="00FE51C9"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Phys</w:t>
            </w:r>
            <w:r>
              <w:rPr>
                <w:rFonts w:eastAsia="Times New Roman" w:cs="Arial"/>
                <w:color w:val="000000"/>
                <w:sz w:val="19"/>
                <w:szCs w:val="19"/>
              </w:rPr>
              <w:t>-</w:t>
            </w:r>
            <w:r w:rsidRPr="00DF1E1D">
              <w:rPr>
                <w:rFonts w:eastAsia="Times New Roman" w:cs="Arial"/>
                <w:color w:val="000000"/>
                <w:sz w:val="19"/>
                <w:szCs w:val="19"/>
              </w:rPr>
              <w:t>Chem</w:t>
            </w:r>
          </w:p>
        </w:tc>
        <w:tc>
          <w:tcPr>
            <w:tcW w:w="730" w:type="dxa"/>
            <w:shd w:val="clear" w:color="auto" w:fill="auto"/>
            <w:noWrap/>
            <w:vAlign w:val="center"/>
            <w:hideMark/>
          </w:tcPr>
          <w:p w14:paraId="7E3CA1DB" w14:textId="5081C9E2"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Ash Cooler</w:t>
            </w:r>
          </w:p>
        </w:tc>
        <w:tc>
          <w:tcPr>
            <w:tcW w:w="799" w:type="dxa"/>
            <w:shd w:val="clear" w:color="auto" w:fill="auto"/>
            <w:noWrap/>
            <w:vAlign w:val="center"/>
            <w:hideMark/>
          </w:tcPr>
          <w:p w14:paraId="771A5640"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Dry Handling</w:t>
            </w:r>
          </w:p>
        </w:tc>
        <w:tc>
          <w:tcPr>
            <w:tcW w:w="0" w:type="auto"/>
            <w:vMerge w:val="restart"/>
            <w:shd w:val="clear" w:color="auto" w:fill="auto"/>
            <w:noWrap/>
            <w:vAlign w:val="center"/>
            <w:hideMark/>
          </w:tcPr>
          <w:p w14:paraId="6618454D" w14:textId="77777777" w:rsidR="006019F3"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Membranes</w:t>
            </w:r>
          </w:p>
          <w:p w14:paraId="486BD3A7" w14:textId="47D7D9B8" w:rsidR="00A216F0" w:rsidRPr="00DF1E1D" w:rsidRDefault="00A216F0" w:rsidP="009708E3">
            <w:pPr>
              <w:spacing w:after="0" w:line="240" w:lineRule="auto"/>
              <w:jc w:val="left"/>
              <w:rPr>
                <w:rFonts w:eastAsia="Times New Roman" w:cs="Arial"/>
                <w:color w:val="000000"/>
                <w:sz w:val="19"/>
                <w:szCs w:val="19"/>
              </w:rPr>
            </w:pPr>
          </w:p>
        </w:tc>
        <w:tc>
          <w:tcPr>
            <w:tcW w:w="0" w:type="auto"/>
            <w:vMerge w:val="restart"/>
            <w:vAlign w:val="center"/>
          </w:tcPr>
          <w:p w14:paraId="73C9EEE4" w14:textId="7E47E72C" w:rsidR="006019F3" w:rsidRPr="00DF1E1D" w:rsidRDefault="006019F3"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Membranes +Evaporator / Crystallizer</w:t>
            </w:r>
          </w:p>
          <w:p w14:paraId="12815666" w14:textId="46C37213" w:rsidR="00A216F0" w:rsidRPr="00DF1E1D" w:rsidRDefault="00A216F0" w:rsidP="009708E3">
            <w:pPr>
              <w:spacing w:after="0" w:line="240" w:lineRule="auto"/>
              <w:jc w:val="left"/>
              <w:rPr>
                <w:rFonts w:eastAsia="Times New Roman" w:cs="Arial"/>
                <w:color w:val="000000"/>
                <w:sz w:val="19"/>
                <w:szCs w:val="19"/>
              </w:rPr>
            </w:pPr>
          </w:p>
        </w:tc>
        <w:tc>
          <w:tcPr>
            <w:tcW w:w="0" w:type="auto"/>
            <w:vMerge w:val="restart"/>
            <w:vAlign w:val="center"/>
          </w:tcPr>
          <w:p w14:paraId="32BDE7A3" w14:textId="77777777" w:rsidR="00C82492" w:rsidRPr="00DF1E1D" w:rsidRDefault="00C82492"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Evaporator/</w:t>
            </w:r>
          </w:p>
          <w:p w14:paraId="41F5E5A0" w14:textId="69B8AB0E" w:rsidR="006019F3" w:rsidRPr="00DF1E1D" w:rsidRDefault="006019F3"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Crystallizer</w:t>
            </w:r>
          </w:p>
          <w:p w14:paraId="0699DD58" w14:textId="199AE8EE" w:rsidR="00A216F0" w:rsidRPr="00DF1E1D" w:rsidRDefault="00A216F0" w:rsidP="009708E3">
            <w:pPr>
              <w:spacing w:after="0" w:line="240" w:lineRule="auto"/>
              <w:jc w:val="left"/>
              <w:rPr>
                <w:rFonts w:eastAsia="Times New Roman" w:cs="Arial"/>
                <w:color w:val="000000" w:themeColor="text1"/>
                <w:sz w:val="19"/>
                <w:szCs w:val="19"/>
              </w:rPr>
            </w:pPr>
          </w:p>
        </w:tc>
      </w:tr>
      <w:tr w:rsidR="00A216F0" w:rsidRPr="003008B2" w14:paraId="2970C34A" w14:textId="3407BE10" w:rsidTr="00FE51C9">
        <w:trPr>
          <w:gridAfter w:val="1"/>
          <w:wAfter w:w="9" w:type="dxa"/>
          <w:trHeight w:val="510"/>
          <w:jc w:val="center"/>
        </w:trPr>
        <w:tc>
          <w:tcPr>
            <w:tcW w:w="0" w:type="auto"/>
            <w:shd w:val="clear" w:color="auto" w:fill="auto"/>
            <w:noWrap/>
            <w:vAlign w:val="center"/>
          </w:tcPr>
          <w:p w14:paraId="7E0ABB71" w14:textId="5E376EA9" w:rsidR="00A216F0" w:rsidRPr="00DF1E1D" w:rsidRDefault="00A216F0" w:rsidP="009708E3">
            <w:pPr>
              <w:spacing w:after="0" w:line="240" w:lineRule="auto"/>
              <w:jc w:val="left"/>
              <w:rPr>
                <w:rFonts w:eastAsia="Times New Roman" w:cs="Arial"/>
                <w:color w:val="000000"/>
                <w:sz w:val="19"/>
                <w:szCs w:val="19"/>
                <w:vertAlign w:val="superscript"/>
              </w:rPr>
            </w:pPr>
            <w:r w:rsidRPr="00DF1E1D">
              <w:rPr>
                <w:rFonts w:eastAsia="Times New Roman" w:cs="Arial"/>
                <w:color w:val="000000"/>
                <w:sz w:val="19"/>
                <w:szCs w:val="19"/>
              </w:rPr>
              <w:t>Scherer 3</w:t>
            </w:r>
            <w:r w:rsidRPr="00DF1E1D">
              <w:rPr>
                <w:rFonts w:eastAsia="Times New Roman" w:cs="Arial"/>
                <w:color w:val="000000"/>
                <w:sz w:val="19"/>
                <w:szCs w:val="19"/>
                <w:vertAlign w:val="superscript"/>
              </w:rPr>
              <w:t>1</w:t>
            </w:r>
          </w:p>
        </w:tc>
        <w:tc>
          <w:tcPr>
            <w:tcW w:w="750" w:type="dxa"/>
            <w:shd w:val="clear" w:color="auto" w:fill="auto"/>
            <w:vAlign w:val="center"/>
          </w:tcPr>
          <w:p w14:paraId="4FFD1D90" w14:textId="58A51344"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tcPr>
          <w:p w14:paraId="3C6406BD" w14:textId="1CB470B2" w:rsidR="00A216F0" w:rsidRPr="00DF1E1D" w:rsidRDefault="00FE51C9"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Phys</w:t>
            </w:r>
            <w:r>
              <w:rPr>
                <w:rFonts w:eastAsia="Times New Roman" w:cs="Arial"/>
                <w:color w:val="000000"/>
                <w:sz w:val="19"/>
                <w:szCs w:val="19"/>
              </w:rPr>
              <w:t>-</w:t>
            </w:r>
            <w:r w:rsidRPr="00DF1E1D">
              <w:rPr>
                <w:rFonts w:eastAsia="Times New Roman" w:cs="Arial"/>
                <w:color w:val="000000"/>
                <w:sz w:val="19"/>
                <w:szCs w:val="19"/>
              </w:rPr>
              <w:t>Chem</w:t>
            </w:r>
          </w:p>
        </w:tc>
        <w:tc>
          <w:tcPr>
            <w:tcW w:w="730" w:type="dxa"/>
            <w:shd w:val="clear" w:color="auto" w:fill="auto"/>
            <w:noWrap/>
            <w:vAlign w:val="center"/>
          </w:tcPr>
          <w:p w14:paraId="646349F0" w14:textId="4A5BCADF"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Ash Cooler</w:t>
            </w:r>
          </w:p>
        </w:tc>
        <w:tc>
          <w:tcPr>
            <w:tcW w:w="799" w:type="dxa"/>
            <w:shd w:val="clear" w:color="auto" w:fill="auto"/>
            <w:noWrap/>
            <w:vAlign w:val="center"/>
          </w:tcPr>
          <w:p w14:paraId="50186EC1" w14:textId="77777777"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Dry Handling</w:t>
            </w:r>
          </w:p>
        </w:tc>
        <w:tc>
          <w:tcPr>
            <w:tcW w:w="0" w:type="auto"/>
            <w:vMerge/>
            <w:shd w:val="clear" w:color="auto" w:fill="auto"/>
            <w:noWrap/>
            <w:vAlign w:val="center"/>
          </w:tcPr>
          <w:p w14:paraId="545DB189" w14:textId="0577F4E9" w:rsidR="00A216F0" w:rsidRPr="00DF1E1D" w:rsidRDefault="00A216F0" w:rsidP="009708E3">
            <w:pPr>
              <w:spacing w:after="0" w:line="240" w:lineRule="auto"/>
              <w:jc w:val="left"/>
              <w:rPr>
                <w:rFonts w:eastAsia="Times New Roman" w:cs="Arial"/>
                <w:color w:val="000000" w:themeColor="text1"/>
                <w:sz w:val="19"/>
                <w:szCs w:val="19"/>
              </w:rPr>
            </w:pPr>
          </w:p>
        </w:tc>
        <w:tc>
          <w:tcPr>
            <w:tcW w:w="0" w:type="auto"/>
            <w:vMerge/>
            <w:vAlign w:val="center"/>
          </w:tcPr>
          <w:p w14:paraId="00A565F0" w14:textId="7D63ACCE" w:rsidR="00A216F0" w:rsidRPr="00DF1E1D" w:rsidRDefault="00A216F0" w:rsidP="009708E3">
            <w:pPr>
              <w:spacing w:after="0" w:line="240" w:lineRule="auto"/>
              <w:jc w:val="left"/>
              <w:rPr>
                <w:rFonts w:eastAsia="Times New Roman" w:cs="Arial"/>
                <w:color w:val="000000"/>
                <w:sz w:val="19"/>
                <w:szCs w:val="19"/>
              </w:rPr>
            </w:pPr>
          </w:p>
        </w:tc>
        <w:tc>
          <w:tcPr>
            <w:tcW w:w="0" w:type="auto"/>
            <w:vMerge/>
            <w:vAlign w:val="center"/>
          </w:tcPr>
          <w:p w14:paraId="28134E58" w14:textId="4EBFFEE0" w:rsidR="00A216F0" w:rsidRPr="00DF1E1D" w:rsidRDefault="00A216F0" w:rsidP="009708E3">
            <w:pPr>
              <w:spacing w:after="0" w:line="240" w:lineRule="auto"/>
              <w:jc w:val="left"/>
              <w:rPr>
                <w:rFonts w:eastAsia="Times New Roman" w:cs="Arial"/>
                <w:color w:val="000000" w:themeColor="text1"/>
                <w:sz w:val="19"/>
                <w:szCs w:val="19"/>
              </w:rPr>
            </w:pPr>
          </w:p>
        </w:tc>
      </w:tr>
      <w:tr w:rsidR="00A216F0" w:rsidRPr="003008B2" w14:paraId="1AF2FC8C" w14:textId="68316761" w:rsidTr="00FE51C9">
        <w:trPr>
          <w:gridAfter w:val="1"/>
          <w:wAfter w:w="9" w:type="dxa"/>
          <w:trHeight w:val="510"/>
          <w:jc w:val="center"/>
        </w:trPr>
        <w:tc>
          <w:tcPr>
            <w:tcW w:w="0" w:type="auto"/>
            <w:shd w:val="clear" w:color="auto" w:fill="auto"/>
            <w:noWrap/>
            <w:vAlign w:val="center"/>
          </w:tcPr>
          <w:p w14:paraId="7B9A5F34" w14:textId="7F63A629"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Yates 6 &amp; 7</w:t>
            </w:r>
          </w:p>
        </w:tc>
        <w:tc>
          <w:tcPr>
            <w:tcW w:w="750" w:type="dxa"/>
            <w:shd w:val="clear" w:color="auto" w:fill="auto"/>
            <w:vAlign w:val="center"/>
          </w:tcPr>
          <w:p w14:paraId="6BAAB0D0" w14:textId="76985BE1" w:rsidR="00A216F0" w:rsidRPr="00DF1E1D" w:rsidRDefault="00DF1E1D"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Flow Monitor</w:t>
            </w:r>
          </w:p>
        </w:tc>
        <w:tc>
          <w:tcPr>
            <w:tcW w:w="1035" w:type="dxa"/>
            <w:shd w:val="clear" w:color="auto" w:fill="auto"/>
            <w:noWrap/>
            <w:vAlign w:val="center"/>
          </w:tcPr>
          <w:p w14:paraId="0E4E0DAF" w14:textId="65831959"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Pond</w:t>
            </w:r>
          </w:p>
        </w:tc>
        <w:tc>
          <w:tcPr>
            <w:tcW w:w="730" w:type="dxa"/>
            <w:shd w:val="clear" w:color="auto" w:fill="auto"/>
            <w:noWrap/>
            <w:vAlign w:val="center"/>
          </w:tcPr>
          <w:p w14:paraId="636F9843" w14:textId="2D15BE38"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799" w:type="dxa"/>
            <w:shd w:val="clear" w:color="auto" w:fill="auto"/>
            <w:noWrap/>
            <w:vAlign w:val="center"/>
          </w:tcPr>
          <w:p w14:paraId="4B312A31" w14:textId="100130E3"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shd w:val="clear" w:color="auto" w:fill="auto"/>
            <w:noWrap/>
            <w:vAlign w:val="center"/>
          </w:tcPr>
          <w:p w14:paraId="382C6A33" w14:textId="15F20582" w:rsidR="00A216F0" w:rsidRPr="00DF1E1D" w:rsidRDefault="00A216F0" w:rsidP="009708E3">
            <w:pPr>
              <w:spacing w:after="0" w:line="240" w:lineRule="auto"/>
              <w:jc w:val="left"/>
              <w:rPr>
                <w:rFonts w:eastAsia="Times New Roman" w:cs="Arial"/>
                <w:color w:val="000000" w:themeColor="text1"/>
                <w:sz w:val="19"/>
                <w:szCs w:val="19"/>
              </w:rPr>
            </w:pPr>
            <w:r w:rsidRPr="00DF1E1D">
              <w:rPr>
                <w:rFonts w:eastAsia="Times New Roman" w:cs="Arial"/>
                <w:color w:val="000000" w:themeColor="text1"/>
                <w:sz w:val="19"/>
                <w:szCs w:val="19"/>
              </w:rPr>
              <w:t>N/A</w:t>
            </w:r>
          </w:p>
        </w:tc>
        <w:tc>
          <w:tcPr>
            <w:tcW w:w="0" w:type="auto"/>
            <w:vAlign w:val="center"/>
          </w:tcPr>
          <w:p w14:paraId="237FA8A0" w14:textId="4217B92E"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c>
          <w:tcPr>
            <w:tcW w:w="0" w:type="auto"/>
            <w:vAlign w:val="center"/>
          </w:tcPr>
          <w:p w14:paraId="4A57F3D7" w14:textId="2327EF82" w:rsidR="00A216F0" w:rsidRPr="00DF1E1D" w:rsidRDefault="00A216F0" w:rsidP="009708E3">
            <w:pPr>
              <w:spacing w:after="0" w:line="240" w:lineRule="auto"/>
              <w:jc w:val="left"/>
              <w:rPr>
                <w:rFonts w:eastAsia="Times New Roman" w:cs="Arial"/>
                <w:color w:val="000000"/>
                <w:sz w:val="19"/>
                <w:szCs w:val="19"/>
              </w:rPr>
            </w:pPr>
            <w:r w:rsidRPr="00DF1E1D">
              <w:rPr>
                <w:rFonts w:eastAsia="Times New Roman" w:cs="Arial"/>
                <w:color w:val="000000"/>
                <w:sz w:val="19"/>
                <w:szCs w:val="19"/>
              </w:rPr>
              <w:t>N/A</w:t>
            </w:r>
          </w:p>
        </w:tc>
      </w:tr>
      <w:tr w:rsidR="00C82492" w:rsidRPr="003008B2" w14:paraId="46C51A86" w14:textId="2B9DC830" w:rsidTr="00FE51C9">
        <w:trPr>
          <w:trHeight w:val="214"/>
          <w:jc w:val="center"/>
        </w:trPr>
        <w:tc>
          <w:tcPr>
            <w:tcW w:w="9645" w:type="dxa"/>
            <w:gridSpan w:val="9"/>
            <w:shd w:val="clear" w:color="auto" w:fill="auto"/>
            <w:noWrap/>
            <w:vAlign w:val="center"/>
          </w:tcPr>
          <w:p w14:paraId="4E90CFB3" w14:textId="103BB0F9" w:rsidR="00C82492" w:rsidRPr="00DF1E1D" w:rsidRDefault="00C82492" w:rsidP="009708E3">
            <w:pPr>
              <w:spacing w:after="0" w:line="240" w:lineRule="auto"/>
              <w:rPr>
                <w:rFonts w:cs="Arial"/>
                <w:i/>
                <w:color w:val="000000" w:themeColor="text1"/>
                <w:sz w:val="19"/>
                <w:szCs w:val="19"/>
                <w:highlight w:val="cyan"/>
              </w:rPr>
            </w:pPr>
            <w:r w:rsidRPr="00DF1E1D">
              <w:rPr>
                <w:rFonts w:cs="Arial"/>
                <w:i/>
                <w:color w:val="000000" w:themeColor="text1"/>
                <w:sz w:val="19"/>
                <w:szCs w:val="19"/>
                <w:vertAlign w:val="superscript"/>
              </w:rPr>
              <w:t>1</w:t>
            </w:r>
            <w:r w:rsidRPr="00DF1E1D">
              <w:rPr>
                <w:rFonts w:cs="Arial"/>
                <w:i/>
                <w:color w:val="000000" w:themeColor="text1"/>
                <w:sz w:val="19"/>
                <w:szCs w:val="19"/>
              </w:rPr>
              <w:t xml:space="preserve"> Georgia Power </w:t>
            </w:r>
            <w:r w:rsidR="004B050C" w:rsidRPr="00DF1E1D">
              <w:rPr>
                <w:rFonts w:cs="Arial"/>
                <w:i/>
                <w:color w:val="000000" w:themeColor="text1"/>
                <w:sz w:val="19"/>
                <w:szCs w:val="19"/>
              </w:rPr>
              <w:t>is making</w:t>
            </w:r>
            <w:r w:rsidRPr="00DF1E1D">
              <w:rPr>
                <w:rFonts w:cs="Arial"/>
                <w:i/>
                <w:color w:val="000000" w:themeColor="text1"/>
                <w:sz w:val="19"/>
                <w:szCs w:val="19"/>
              </w:rPr>
              <w:t xml:space="preserve"> a formal recommendation </w:t>
            </w:r>
            <w:r w:rsidR="004B050C" w:rsidRPr="00DF1E1D">
              <w:rPr>
                <w:rFonts w:cs="Arial"/>
                <w:i/>
                <w:color w:val="000000" w:themeColor="text1"/>
                <w:sz w:val="19"/>
                <w:szCs w:val="19"/>
              </w:rPr>
              <w:t>for the</w:t>
            </w:r>
            <w:r w:rsidRPr="00DF1E1D">
              <w:rPr>
                <w:rFonts w:cs="Arial"/>
                <w:i/>
                <w:color w:val="000000" w:themeColor="text1"/>
                <w:sz w:val="19"/>
                <w:szCs w:val="19"/>
              </w:rPr>
              <w:t xml:space="preserve"> continued operations for Plant Bowen Units 1 and 2, as well as extending the operation of Plant Scherer Unit 3 and Plant Gaston Units 1 through 4 beyond the retirement dates approved in the 2022 IRP. </w:t>
            </w:r>
          </w:p>
          <w:p w14:paraId="00F2A5B0" w14:textId="77777777" w:rsidR="00C82492" w:rsidRDefault="00C82492" w:rsidP="009708E3">
            <w:pPr>
              <w:spacing w:after="0" w:line="240" w:lineRule="auto"/>
              <w:rPr>
                <w:rFonts w:cs="Arial"/>
                <w:i/>
                <w:color w:val="000000" w:themeColor="text1"/>
                <w:sz w:val="19"/>
                <w:szCs w:val="19"/>
              </w:rPr>
            </w:pPr>
            <w:r w:rsidRPr="00DF1E1D">
              <w:rPr>
                <w:rFonts w:cs="Arial"/>
                <w:i/>
                <w:color w:val="000000" w:themeColor="text1"/>
                <w:sz w:val="19"/>
                <w:szCs w:val="19"/>
                <w:vertAlign w:val="superscript"/>
              </w:rPr>
              <w:t>2</w:t>
            </w:r>
            <w:r w:rsidRPr="00DF1E1D">
              <w:rPr>
                <w:rFonts w:cs="Arial"/>
                <w:i/>
                <w:color w:val="000000" w:themeColor="text1"/>
                <w:sz w:val="19"/>
                <w:szCs w:val="19"/>
              </w:rPr>
              <w:t xml:space="preserve"> Note that ash handling systems for Gaston 1-4 are only required for limited operation on coal as a backup fuel.</w:t>
            </w:r>
          </w:p>
          <w:p w14:paraId="7F7B20AF" w14:textId="77777777" w:rsidR="00FE51C9" w:rsidRPr="00E818FD" w:rsidRDefault="00FE51C9" w:rsidP="00FE51C9">
            <w:pPr>
              <w:spacing w:after="0" w:line="240" w:lineRule="auto"/>
              <w:jc w:val="left"/>
              <w:rPr>
                <w:b/>
                <w:bCs/>
                <w:sz w:val="18"/>
                <w:szCs w:val="18"/>
              </w:rPr>
            </w:pPr>
            <w:r w:rsidRPr="00E818FD">
              <w:rPr>
                <w:b/>
                <w:bCs/>
                <w:sz w:val="18"/>
                <w:szCs w:val="18"/>
              </w:rPr>
              <w:lastRenderedPageBreak/>
              <w:t>Control Equipment Key:</w:t>
            </w:r>
          </w:p>
          <w:p w14:paraId="7E6E14F6" w14:textId="77777777" w:rsidR="00FE51C9" w:rsidRPr="00FE51C9" w:rsidRDefault="00FE51C9" w:rsidP="009708E3">
            <w:pPr>
              <w:spacing w:after="0" w:line="240" w:lineRule="auto"/>
              <w:rPr>
                <w:rFonts w:cs="Arial"/>
                <w:i/>
                <w:color w:val="000000" w:themeColor="text1"/>
                <w:sz w:val="19"/>
                <w:szCs w:val="19"/>
              </w:rPr>
            </w:pPr>
            <w:r w:rsidRPr="00FE51C9">
              <w:rPr>
                <w:rFonts w:cs="Arial"/>
                <w:i/>
                <w:color w:val="000000" w:themeColor="text1"/>
                <w:sz w:val="19"/>
                <w:szCs w:val="19"/>
              </w:rPr>
              <w:t>Phys-chem = physical and chemical treatment</w:t>
            </w:r>
          </w:p>
          <w:p w14:paraId="547104FE" w14:textId="77777777" w:rsidR="00FE51C9" w:rsidRPr="00FE51C9" w:rsidRDefault="00FE51C9" w:rsidP="009708E3">
            <w:pPr>
              <w:spacing w:after="0" w:line="240" w:lineRule="auto"/>
              <w:rPr>
                <w:rFonts w:cs="Arial"/>
                <w:i/>
                <w:color w:val="000000" w:themeColor="text1"/>
                <w:sz w:val="19"/>
                <w:szCs w:val="19"/>
              </w:rPr>
            </w:pPr>
            <w:r w:rsidRPr="00FE51C9">
              <w:rPr>
                <w:rFonts w:cs="Arial"/>
                <w:i/>
                <w:color w:val="000000" w:themeColor="text1"/>
                <w:sz w:val="19"/>
                <w:szCs w:val="19"/>
              </w:rPr>
              <w:t>Bio =biological treatment</w:t>
            </w:r>
          </w:p>
          <w:p w14:paraId="5F159B00" w14:textId="61CAD418" w:rsidR="00C82492" w:rsidRPr="00DF1E1D" w:rsidRDefault="00FE51C9" w:rsidP="009708E3">
            <w:pPr>
              <w:spacing w:after="0" w:line="240" w:lineRule="auto"/>
              <w:rPr>
                <w:rFonts w:cs="Arial"/>
                <w:i/>
                <w:color w:val="000000" w:themeColor="text1"/>
                <w:sz w:val="19"/>
                <w:szCs w:val="19"/>
                <w:highlight w:val="cyan"/>
                <w:vertAlign w:val="superscript"/>
              </w:rPr>
            </w:pPr>
            <w:r w:rsidRPr="00FE51C9">
              <w:rPr>
                <w:rFonts w:cs="Arial"/>
                <w:i/>
                <w:color w:val="000000" w:themeColor="text1"/>
                <w:sz w:val="19"/>
                <w:szCs w:val="19"/>
              </w:rPr>
              <w:t>RMDC = Remote Mechanical Drag Chain</w:t>
            </w:r>
          </w:p>
        </w:tc>
      </w:tr>
    </w:tbl>
    <w:p w14:paraId="5F9C5D42" w14:textId="77777777" w:rsidR="00AA39A7" w:rsidRDefault="00AA39A7" w:rsidP="000C798F">
      <w:bookmarkStart w:id="19" w:name="_Toc130200999"/>
      <w:bookmarkStart w:id="20" w:name="_Toc94197911"/>
      <w:bookmarkStart w:id="21" w:name="_Toc117253449"/>
    </w:p>
    <w:p w14:paraId="2F74F208" w14:textId="0CB2A5C4" w:rsidR="00AA39A7" w:rsidRPr="001D7FF8" w:rsidRDefault="006019F3" w:rsidP="006019F3">
      <w:pPr>
        <w:tabs>
          <w:tab w:val="left" w:pos="12184"/>
        </w:tabs>
        <w:sectPr w:rsidR="00AA39A7" w:rsidRPr="001D7FF8" w:rsidSect="00E95B5A">
          <w:footerReference w:type="default" r:id="rId17"/>
          <w:pgSz w:w="12240" w:h="15840"/>
          <w:pgMar w:top="1440" w:right="1440" w:bottom="1440" w:left="1440" w:header="720" w:footer="720" w:gutter="0"/>
          <w:cols w:space="720"/>
          <w:docGrid w:linePitch="360"/>
        </w:sectPr>
      </w:pPr>
      <w:r>
        <w:tab/>
      </w:r>
    </w:p>
    <w:p w14:paraId="514FAD28" w14:textId="686CED4B" w:rsidR="00415D2F" w:rsidRDefault="00415D2F" w:rsidP="000C798F">
      <w:pPr>
        <w:pStyle w:val="Heading3"/>
      </w:pPr>
      <w:bookmarkStart w:id="22" w:name="_Toc188252317"/>
      <w:r w:rsidRPr="003F693A">
        <w:lastRenderedPageBreak/>
        <w:t>2.</w:t>
      </w:r>
      <w:r>
        <w:t>1</w:t>
      </w:r>
      <w:r w:rsidRPr="003F693A">
        <w:t xml:space="preserve">.1 </w:t>
      </w:r>
      <w:r w:rsidR="00A01118">
        <w:t>Waters of the United States</w:t>
      </w:r>
      <w:r w:rsidRPr="003F693A">
        <w:t xml:space="preserve"> (</w:t>
      </w:r>
      <w:r w:rsidR="0061456B">
        <w:t>3</w:t>
      </w:r>
      <w:r w:rsidR="00D8662E">
        <w:t>3</w:t>
      </w:r>
      <w:r w:rsidR="0061456B">
        <w:t xml:space="preserve"> CFR 328 and 40 </w:t>
      </w:r>
      <w:r w:rsidRPr="003F693A">
        <w:t>CFR 12</w:t>
      </w:r>
      <w:r w:rsidR="0061456B">
        <w:t>0</w:t>
      </w:r>
      <w:r w:rsidRPr="003F693A">
        <w:t>)</w:t>
      </w:r>
      <w:bookmarkEnd w:id="19"/>
      <w:bookmarkEnd w:id="22"/>
    </w:p>
    <w:p w14:paraId="6EA3D4C6" w14:textId="6C163B61" w:rsidR="006204F0" w:rsidRDefault="00415D2F" w:rsidP="000F14DE">
      <w:r>
        <w:t xml:space="preserve">The </w:t>
      </w:r>
      <w:r w:rsidR="001012CA">
        <w:t xml:space="preserve">regulatory definition of </w:t>
      </w:r>
      <w:r>
        <w:t xml:space="preserve">“waters of the United States” </w:t>
      </w:r>
      <w:r w:rsidR="006204F0">
        <w:t xml:space="preserve">(“WOTUS”) </w:t>
      </w:r>
      <w:r>
        <w:t xml:space="preserve">outlines the scope of waters federally regulated under the </w:t>
      </w:r>
      <w:r w:rsidR="00EA01C5">
        <w:t>CWA</w:t>
      </w:r>
      <w:r>
        <w:t xml:space="preserve">. The </w:t>
      </w:r>
      <w:r w:rsidR="001012CA">
        <w:t>definition</w:t>
      </w:r>
      <w:r>
        <w:t xml:space="preserve"> affects all CWA programs that rely on this definition, including the NPDES permit program, the dredge-and-fill permit program, and oil spill prevention and response programs. </w:t>
      </w:r>
      <w:r w:rsidR="001012CA">
        <w:t>Regulation regarding WOTUS</w:t>
      </w:r>
      <w:r>
        <w:t xml:space="preserve"> is administered by the EPA and the </w:t>
      </w:r>
      <w:r w:rsidR="0000460C">
        <w:t>U</w:t>
      </w:r>
      <w:r w:rsidR="004D1E74">
        <w:t>.</w:t>
      </w:r>
      <w:r w:rsidR="0000460C">
        <w:t>S</w:t>
      </w:r>
      <w:r w:rsidR="004D1E74">
        <w:t>.</w:t>
      </w:r>
      <w:r w:rsidR="0000460C">
        <w:t xml:space="preserve"> Army Corp of Engineers (</w:t>
      </w:r>
      <w:r w:rsidR="00215CDE">
        <w:t>the</w:t>
      </w:r>
      <w:r w:rsidR="428C256E">
        <w:t xml:space="preserve"> </w:t>
      </w:r>
      <w:r w:rsidR="0000460C">
        <w:t>“</w:t>
      </w:r>
      <w:r w:rsidR="00215CDE">
        <w:t>Corps</w:t>
      </w:r>
      <w:r w:rsidR="00DB04BD">
        <w:t>”</w:t>
      </w:r>
      <w:r w:rsidR="00215CDE">
        <w:t xml:space="preserve"> and </w:t>
      </w:r>
      <w:r w:rsidR="00704FDE">
        <w:t>together</w:t>
      </w:r>
      <w:r w:rsidR="00951206">
        <w:t xml:space="preserve">, </w:t>
      </w:r>
      <w:r>
        <w:t>“the Agencies”).</w:t>
      </w:r>
    </w:p>
    <w:p w14:paraId="7441D16B" w14:textId="4AC03D76" w:rsidR="006204F0" w:rsidRDefault="006204F0" w:rsidP="000F14DE">
      <w:r w:rsidRPr="006204F0">
        <w:t xml:space="preserve">In August 2015, the Agencies issued a final rule redefining WOTUS to exert very broad jurisdiction over water features, including features that have not previously been regulated, such as ephemeral drainages and isolated ponds </w:t>
      </w:r>
      <w:r w:rsidR="00391A35">
        <w:t>at</w:t>
      </w:r>
      <w:r w:rsidRPr="006204F0">
        <w:t xml:space="preserve"> industrial facilities. Then, in April 2020, the Agencies finalized </w:t>
      </w:r>
      <w:r w:rsidR="008E5090">
        <w:t xml:space="preserve">the </w:t>
      </w:r>
      <w:r w:rsidR="00944F17">
        <w:t>Navigable Waters Protection Rule (“</w:t>
      </w:r>
      <w:r w:rsidR="008E5090">
        <w:t>NWPR</w:t>
      </w:r>
      <w:r w:rsidR="00944F17">
        <w:t>”)</w:t>
      </w:r>
      <w:r w:rsidRPr="006204F0">
        <w:t xml:space="preserve"> to repeal the 2015 </w:t>
      </w:r>
      <w:r w:rsidR="00944F17">
        <w:t>definition,</w:t>
      </w:r>
      <w:r w:rsidRPr="006204F0">
        <w:t xml:space="preserve"> effectively restoring the regulatory text that existed prior to the 2015 rulemaking.</w:t>
      </w:r>
    </w:p>
    <w:p w14:paraId="4CDA326F" w14:textId="159B0524" w:rsidR="00415D2F" w:rsidRDefault="00415D2F" w:rsidP="000F14DE">
      <w:r>
        <w:t xml:space="preserve">In 2021, the Agencies, in response to court order, </w:t>
      </w:r>
      <w:r w:rsidRPr="006204F0">
        <w:t xml:space="preserve">announced they halted implementation of the NWPR and </w:t>
      </w:r>
      <w:r w:rsidR="00090F96">
        <w:t>were</w:t>
      </w:r>
      <w:r w:rsidRPr="006204F0">
        <w:t xml:space="preserve"> interpreting WOTUS consistent with the pre-2015 regulatory regime until further notice. The Agencies completed review of the NWPR under the</w:t>
      </w:r>
      <w:r>
        <w:rPr>
          <w:rFonts w:eastAsia="Arial" w:cs="Arial"/>
          <w:color w:val="000000" w:themeColor="text1"/>
          <w:szCs w:val="24"/>
        </w:rPr>
        <w:t xml:space="preserve"> Biden Administration’s </w:t>
      </w:r>
      <w:r w:rsidR="00DD3382">
        <w:rPr>
          <w:rFonts w:eastAsia="Arial" w:cs="Arial"/>
          <w:color w:val="000000" w:themeColor="text1"/>
          <w:szCs w:val="24"/>
        </w:rPr>
        <w:t xml:space="preserve">Executive Order </w:t>
      </w:r>
      <w:r>
        <w:rPr>
          <w:rFonts w:eastAsia="Arial" w:cs="Arial"/>
          <w:color w:val="000000" w:themeColor="text1"/>
          <w:szCs w:val="24"/>
        </w:rPr>
        <w:t xml:space="preserve">13990 and determined the </w:t>
      </w:r>
      <w:r w:rsidR="002B1EF0">
        <w:rPr>
          <w:rFonts w:eastAsia="Arial" w:cs="Arial"/>
          <w:color w:val="000000" w:themeColor="text1"/>
          <w:szCs w:val="24"/>
        </w:rPr>
        <w:t xml:space="preserve">NWPR </w:t>
      </w:r>
      <w:r w:rsidR="00D92989">
        <w:rPr>
          <w:rFonts w:eastAsia="Arial" w:cs="Arial"/>
          <w:color w:val="000000" w:themeColor="text1"/>
          <w:szCs w:val="24"/>
        </w:rPr>
        <w:t>would</w:t>
      </w:r>
      <w:r>
        <w:rPr>
          <w:rFonts w:eastAsia="Arial" w:cs="Arial"/>
          <w:color w:val="000000" w:themeColor="text1"/>
          <w:szCs w:val="24"/>
        </w:rPr>
        <w:t xml:space="preserve"> be replaced. </w:t>
      </w:r>
      <w:r>
        <w:t xml:space="preserve">In December 2021, </w:t>
      </w:r>
      <w:r w:rsidR="00095B9D">
        <w:t xml:space="preserve">EPA </w:t>
      </w:r>
      <w:r>
        <w:t xml:space="preserve">proposed </w:t>
      </w:r>
      <w:r w:rsidR="00095B9D">
        <w:t xml:space="preserve">a </w:t>
      </w:r>
      <w:r w:rsidR="003852FC">
        <w:t xml:space="preserve">rule </w:t>
      </w:r>
      <w:r>
        <w:t xml:space="preserve">revision </w:t>
      </w:r>
      <w:r w:rsidR="003852FC">
        <w:t xml:space="preserve">intended to repeal </w:t>
      </w:r>
      <w:r>
        <w:t>the</w:t>
      </w:r>
      <w:r w:rsidR="003852FC">
        <w:t xml:space="preserve"> 2020</w:t>
      </w:r>
      <w:r>
        <w:t xml:space="preserve"> NWPR and </w:t>
      </w:r>
      <w:r w:rsidR="00D92989">
        <w:t xml:space="preserve">to purportedly </w:t>
      </w:r>
      <w:r>
        <w:t>restore regulations defining “waters of the United States” that were in place prior to 2015</w:t>
      </w:r>
      <w:r w:rsidR="00C85594">
        <w:t xml:space="preserve"> but</w:t>
      </w:r>
      <w:r>
        <w:t xml:space="preserve"> with updates to be consistent with relevant Supreme Court decisions. </w:t>
      </w:r>
    </w:p>
    <w:p w14:paraId="4202923D" w14:textId="0A14979C" w:rsidR="00A95578" w:rsidRDefault="00A95578" w:rsidP="000F14DE">
      <w:r>
        <w:t xml:space="preserve">On January 18, 2023, EPA published the final updated WOTUS definition (“Phase I WOTUS”), which was challenged by multiple parties, including the State of Georgia, in several courts across the U.S. and stayed in 27 states, including Georgia. On May 25, 2023, the U.S. Supreme Court issued its decision in </w:t>
      </w:r>
      <w:r w:rsidRPr="7481EDE0">
        <w:rPr>
          <w:i/>
          <w:iCs/>
        </w:rPr>
        <w:t>Sackett v. EPA</w:t>
      </w:r>
      <w:r>
        <w:t>, which effectively invalidate</w:t>
      </w:r>
      <w:r w:rsidR="0E6E99CA">
        <w:t>d</w:t>
      </w:r>
      <w:r>
        <w:t xml:space="preserve"> portions of the 2023 WOTUS rule that would have changed the way wetlands</w:t>
      </w:r>
      <w:r w:rsidDel="00A95578">
        <w:t xml:space="preserve"> </w:t>
      </w:r>
      <w:r w:rsidR="08E5C455">
        <w:t>are</w:t>
      </w:r>
      <w:r>
        <w:t xml:space="preserve"> defined and determined by the </w:t>
      </w:r>
      <w:r w:rsidR="00076858">
        <w:t>Corps</w:t>
      </w:r>
      <w:r>
        <w:t xml:space="preserve">. On September 8, 2023, the EPA and Corps published the final revised WOTUS rule, with the stated intent of aligning the definition of “WOTUS” under the CWA with the U.S. Supreme Court’s May 25th decision in </w:t>
      </w:r>
      <w:r w:rsidRPr="7481EDE0">
        <w:rPr>
          <w:i/>
          <w:iCs/>
        </w:rPr>
        <w:t>Sackett v. EPA</w:t>
      </w:r>
      <w:r>
        <w:t>.</w:t>
      </w:r>
      <w:r w:rsidR="007C14B7">
        <w:t xml:space="preserve"> </w:t>
      </w:r>
      <w:r>
        <w:t>The Agencies have indicated that they are “developing regionally</w:t>
      </w:r>
      <w:r w:rsidR="000E52C6">
        <w:t>-</w:t>
      </w:r>
      <w:r>
        <w:t>specific tools to facilitate implementation,” and emphasized that they have “a wide range of available approaches” to address remaining issues, including permitting actions, jurisdictional determinations, guidance, rulemakings, and agency forms and training materials.</w:t>
      </w:r>
      <w:r w:rsidR="004F3E95" w:rsidRPr="004F3E95">
        <w:rPr>
          <w:rStyle w:val="FootnoteReference"/>
        </w:rPr>
        <w:t xml:space="preserve"> </w:t>
      </w:r>
      <w:r w:rsidR="004F3E95">
        <w:rPr>
          <w:rStyle w:val="FootnoteReference"/>
        </w:rPr>
        <w:footnoteReference w:id="4"/>
      </w:r>
      <w:r w:rsidR="00E345D1">
        <w:t xml:space="preserve"> </w:t>
      </w:r>
      <w:r w:rsidR="00B90DF7" w:rsidRPr="6F60C7BE">
        <w:t>As a result of the existing injunctions in 27 states, the revisions do not yet apply in those states, including Georgia. </w:t>
      </w:r>
    </w:p>
    <w:p w14:paraId="5621CF4B" w14:textId="048B1D57" w:rsidR="00FE2590" w:rsidRDefault="00A626C9" w:rsidP="000F14DE">
      <w:r>
        <w:t xml:space="preserve">The Company continues to follow developments </w:t>
      </w:r>
      <w:r w:rsidR="004E25DF">
        <w:t>of</w:t>
      </w:r>
      <w:r>
        <w:t xml:space="preserve"> regulatory definitions of WOTUS because of the potential impacts to CWA programs like the NPDES permitting program and program</w:t>
      </w:r>
      <w:r w:rsidR="526782BB">
        <w:t>s</w:t>
      </w:r>
      <w:r>
        <w:t xml:space="preserve"> </w:t>
      </w:r>
      <w:r w:rsidR="2DB96CC9">
        <w:t xml:space="preserve">regulating </w:t>
      </w:r>
      <w:r>
        <w:t xml:space="preserve">wetland and stream impacts for new development. </w:t>
      </w:r>
      <w:r w:rsidR="00B308A7">
        <w:t>The</w:t>
      </w:r>
      <w:r w:rsidR="000746FD">
        <w:t xml:space="preserve"> </w:t>
      </w:r>
      <w:r w:rsidR="00302769">
        <w:t>impact</w:t>
      </w:r>
      <w:r w:rsidR="00B308A7">
        <w:t>s</w:t>
      </w:r>
      <w:r w:rsidR="00302769">
        <w:t xml:space="preserve"> of </w:t>
      </w:r>
      <w:r w:rsidR="00074B07">
        <w:t xml:space="preserve">definitional changes to WOTUS </w:t>
      </w:r>
      <w:r w:rsidR="007A4C76">
        <w:t xml:space="preserve">can be </w:t>
      </w:r>
      <w:r w:rsidR="00E05AFB">
        <w:t xml:space="preserve">significant due to </w:t>
      </w:r>
      <w:r w:rsidR="3324D952">
        <w:t xml:space="preserve">potential stream and wetland </w:t>
      </w:r>
      <w:r w:rsidR="00E05AFB">
        <w:t xml:space="preserve">mitigation </w:t>
      </w:r>
      <w:r w:rsidR="48BF3DBD">
        <w:t>costs</w:t>
      </w:r>
      <w:r w:rsidR="1EC6CFF3">
        <w:t xml:space="preserve">, and </w:t>
      </w:r>
      <w:r w:rsidR="00E05AFB">
        <w:t xml:space="preserve">schedule impacts for </w:t>
      </w:r>
      <w:r w:rsidR="008338DA">
        <w:t xml:space="preserve">new generation and </w:t>
      </w:r>
      <w:r w:rsidR="00C24638">
        <w:t xml:space="preserve">power delivery </w:t>
      </w:r>
      <w:r w:rsidR="6BC66683">
        <w:t>construction</w:t>
      </w:r>
      <w:r w:rsidR="00C24638">
        <w:t xml:space="preserve"> projects.</w:t>
      </w:r>
    </w:p>
    <w:p w14:paraId="1A11314C" w14:textId="27537DEA" w:rsidR="00BE3E3C" w:rsidRPr="003F693A" w:rsidRDefault="00210D1D" w:rsidP="009C7496">
      <w:pPr>
        <w:pStyle w:val="Heading3"/>
      </w:pPr>
      <w:bookmarkStart w:id="23" w:name="_Toc130201000"/>
      <w:bookmarkStart w:id="24" w:name="_Toc188252318"/>
      <w:r w:rsidRPr="003F693A">
        <w:lastRenderedPageBreak/>
        <w:t>2</w:t>
      </w:r>
      <w:r w:rsidR="00BE3E3C" w:rsidRPr="003F693A">
        <w:t>.</w:t>
      </w:r>
      <w:r w:rsidR="00491B92">
        <w:t>1</w:t>
      </w:r>
      <w:r w:rsidR="00BE3E3C" w:rsidRPr="003F693A">
        <w:t>.</w:t>
      </w:r>
      <w:r w:rsidR="00A138E3">
        <w:t>2</w:t>
      </w:r>
      <w:r w:rsidR="00BE3E3C" w:rsidRPr="003F693A">
        <w:t xml:space="preserve"> Cooling Water Intake Structures</w:t>
      </w:r>
      <w:bookmarkEnd w:id="20"/>
      <w:bookmarkEnd w:id="21"/>
      <w:r w:rsidR="00521893" w:rsidRPr="003F693A">
        <w:t xml:space="preserve"> (40 CFR 122 and 125)</w:t>
      </w:r>
      <w:bookmarkEnd w:id="23"/>
      <w:bookmarkEnd w:id="24"/>
    </w:p>
    <w:p w14:paraId="6938F09D" w14:textId="0AD7DA01" w:rsidR="00967132" w:rsidRPr="00DB7156" w:rsidRDefault="00BE3E3C" w:rsidP="000F14DE">
      <w:r w:rsidRPr="53ADDA6E">
        <w:t>Section 316(b) of the CWA</w:t>
      </w:r>
      <w:r>
        <w:t xml:space="preserve"> (“316(b)")</w:t>
      </w:r>
      <w:r w:rsidRPr="53ADDA6E">
        <w:t xml:space="preserve"> requires that the location, design, construction, and capacity of any cooling water intake structure reflect Best Technology Available (“BTA”) to minimize adverse impacts from impingement and entrainment of fish, shellfish, and other aquatic organisms. </w:t>
      </w:r>
      <w:r w:rsidR="00967132">
        <w:t>I</w:t>
      </w:r>
      <w:r w:rsidR="00967132" w:rsidRPr="00DB7156">
        <w:t xml:space="preserve">n August 2014, EPA published a final 316(b) rule that established impingement mortality and entrainment requirements for existing power generating facilities and manufacturing and industrial facilities that are designed to withdraw more than 2 million gallons per day from </w:t>
      </w:r>
      <w:r w:rsidR="00BF15BD">
        <w:t>WOTUS</w:t>
      </w:r>
      <w:r w:rsidR="00967132" w:rsidRPr="00DB7156">
        <w:t xml:space="preserve"> and use at least 25 percent of the water they withdraw exclusively for cooling purposes. </w:t>
      </w:r>
    </w:p>
    <w:p w14:paraId="4873ACAC" w14:textId="53D149E1" w:rsidR="00967132" w:rsidRPr="00DB7156" w:rsidRDefault="00967132" w:rsidP="000F14DE">
      <w:r w:rsidRPr="00DB7156">
        <w:t xml:space="preserve">Facilities subject to the rule must comply with one of seven options identified for impingement mortality, which include modified traveling screens and closed-cycle recirculating cooling. For entrainment, the rule </w:t>
      </w:r>
      <w:r>
        <w:t xml:space="preserve">relies on </w:t>
      </w:r>
      <w:r w:rsidRPr="00DB7156">
        <w:t xml:space="preserve">the determination of BTA requirements by the permitting authority on a site-specific basis. </w:t>
      </w:r>
    </w:p>
    <w:p w14:paraId="39AED324" w14:textId="309B8AF9" w:rsidR="007C14E5" w:rsidRPr="004E32D7" w:rsidRDefault="000559A6" w:rsidP="002F55E6">
      <w:pPr>
        <w:pStyle w:val="Heading4"/>
      </w:pPr>
      <w:r w:rsidRPr="004E32D7">
        <w:rPr>
          <w:rFonts w:hint="eastAsia"/>
        </w:rPr>
        <w:t>2.1.2.1</w:t>
      </w:r>
      <w:r w:rsidRPr="004E32D7">
        <w:rPr>
          <w:rFonts w:hint="eastAsia"/>
        </w:rPr>
        <w:tab/>
      </w:r>
      <w:r w:rsidR="007C14E5" w:rsidRPr="004E32D7">
        <w:rPr>
          <w:rFonts w:hint="eastAsia"/>
        </w:rPr>
        <w:t xml:space="preserve">316(b) Compliance Strategy </w:t>
      </w:r>
    </w:p>
    <w:p w14:paraId="26126821" w14:textId="24DC6632" w:rsidR="005363D6" w:rsidRDefault="00BE3E3C" w:rsidP="000F14DE">
      <w:r>
        <w:t>For purposes of 316(b) rule compliance, Plants Bowen, McDonough, McIntosh CC, Scherer, and Yates employ closed-cycle cooling</w:t>
      </w:r>
      <w:r w:rsidR="008D4BA9">
        <w:t xml:space="preserve">, which </w:t>
      </w:r>
      <w:r>
        <w:t xml:space="preserve">EPD </w:t>
      </w:r>
      <w:r w:rsidR="008D4BA9">
        <w:t xml:space="preserve">has </w:t>
      </w:r>
      <w:r>
        <w:t>determined compl</w:t>
      </w:r>
      <w:r w:rsidR="004D384D">
        <w:t>ies</w:t>
      </w:r>
      <w:r>
        <w:t xml:space="preserve"> with the impingement and entrainment BTA requirements of the </w:t>
      </w:r>
      <w:r w:rsidR="00D20884">
        <w:t>316(b)</w:t>
      </w:r>
      <w:r>
        <w:t xml:space="preserve"> rule. </w:t>
      </w:r>
      <w:r w:rsidR="005C6CE8">
        <w:t>As such</w:t>
      </w:r>
      <w:r w:rsidR="00C87D83">
        <w:t xml:space="preserve">, </w:t>
      </w:r>
      <w:r w:rsidR="007A0D06">
        <w:t xml:space="preserve">the only requirement </w:t>
      </w:r>
      <w:r w:rsidR="008113AB">
        <w:t xml:space="preserve">EPD has </w:t>
      </w:r>
      <w:r w:rsidR="00765956">
        <w:t xml:space="preserve">or is expected to add to NPDES permits </w:t>
      </w:r>
      <w:r w:rsidR="008113AB">
        <w:t xml:space="preserve">is the addition of </w:t>
      </w:r>
      <w:r w:rsidR="00F73636">
        <w:t>intake</w:t>
      </w:r>
      <w:r w:rsidR="00310E22">
        <w:t xml:space="preserve"> </w:t>
      </w:r>
      <w:r w:rsidR="00F73636">
        <w:t>flow monitoring</w:t>
      </w:r>
      <w:r w:rsidR="00A51A3D" w:rsidRPr="00A51A3D">
        <w:t xml:space="preserve"> </w:t>
      </w:r>
      <w:r w:rsidR="00A51A3D">
        <w:t>equipment, where not already installed</w:t>
      </w:r>
      <w:r w:rsidR="007A0D06">
        <w:t>,</w:t>
      </w:r>
      <w:r w:rsidR="00A51A3D">
        <w:t xml:space="preserve"> or an alternative </w:t>
      </w:r>
      <w:r w:rsidR="003F01AB">
        <w:t xml:space="preserve">flow </w:t>
      </w:r>
      <w:r w:rsidR="00A51A3D">
        <w:t>calculation method, to demonstrate effective operation as a closed-cycle</w:t>
      </w:r>
      <w:r w:rsidR="00A51A3D" w:rsidDel="00233EFD">
        <w:t xml:space="preserve"> cooling </w:t>
      </w:r>
      <w:r w:rsidR="00A51A3D">
        <w:t>facility</w:t>
      </w:r>
      <w:r w:rsidR="007D018B">
        <w:t>.</w:t>
      </w:r>
    </w:p>
    <w:p w14:paraId="63808B2B" w14:textId="50318AB4" w:rsidR="00BE3E3C" w:rsidRDefault="00BE3E3C" w:rsidP="000F14DE">
      <w:r w:rsidRPr="006B4FDA">
        <w:t>Plant Gaston’s strategy for 316(b) compliance</w:t>
      </w:r>
      <w:r w:rsidRPr="00CF62DB">
        <w:t xml:space="preserve"> </w:t>
      </w:r>
      <w:r>
        <w:t>includes</w:t>
      </w:r>
      <w:r w:rsidRPr="00CF62DB">
        <w:t xml:space="preserve"> intake </w:t>
      </w:r>
      <w:r>
        <w:t xml:space="preserve">screen </w:t>
      </w:r>
      <w:r w:rsidRPr="00CF62DB">
        <w:t>modifications</w:t>
      </w:r>
      <w:r>
        <w:t xml:space="preserve"> </w:t>
      </w:r>
      <w:r w:rsidRPr="00612388">
        <w:t xml:space="preserve">with </w:t>
      </w:r>
      <w:r>
        <w:t xml:space="preserve">a </w:t>
      </w:r>
      <w:r w:rsidRPr="00612388">
        <w:t>fish</w:t>
      </w:r>
      <w:r w:rsidR="0078608C">
        <w:t>-</w:t>
      </w:r>
      <w:r w:rsidRPr="00612388">
        <w:t>friendly return</w:t>
      </w:r>
      <w:r>
        <w:t xml:space="preserve"> system</w:t>
      </w:r>
      <w:r w:rsidR="0026474E" w:rsidRPr="0026474E">
        <w:t xml:space="preserve"> </w:t>
      </w:r>
      <w:r w:rsidR="0026474E" w:rsidRPr="00612388">
        <w:t>to reduce impingement and entrainment of aquatic species</w:t>
      </w:r>
      <w:r>
        <w:t xml:space="preserve">. </w:t>
      </w:r>
      <w:r w:rsidRPr="005A6792">
        <w:t xml:space="preserve">The </w:t>
      </w:r>
      <w:r w:rsidR="008E33C5">
        <w:t xml:space="preserve">final </w:t>
      </w:r>
      <w:r w:rsidRPr="005A6792">
        <w:t xml:space="preserve">316(b) compliance strategy will be </w:t>
      </w:r>
      <w:r w:rsidR="00E71F27">
        <w:t xml:space="preserve">determined through the </w:t>
      </w:r>
      <w:r w:rsidRPr="005A6792">
        <w:t xml:space="preserve">NPDES permit </w:t>
      </w:r>
      <w:r w:rsidR="00E71F27">
        <w:t>process</w:t>
      </w:r>
      <w:r w:rsidRPr="005A6792">
        <w:t xml:space="preserve"> by the Alabama Department of Environmental </w:t>
      </w:r>
      <w:r w:rsidR="00236831">
        <w:t xml:space="preserve">Management </w:t>
      </w:r>
      <w:r w:rsidR="00E71F27">
        <w:t>(“ADEM”)</w:t>
      </w:r>
      <w:r w:rsidRPr="005A6792">
        <w:t>. The timing of the installation is dependent on the permit issuance</w:t>
      </w:r>
      <w:r w:rsidR="53ED2789">
        <w:t>,</w:t>
      </w:r>
      <w:r w:rsidRPr="005A6792">
        <w:t xml:space="preserve"> with a</w:t>
      </w:r>
      <w:r w:rsidR="008E33C5">
        <w:t xml:space="preserve"> current projected</w:t>
      </w:r>
      <w:r w:rsidRPr="005A6792">
        <w:t xml:space="preserve"> </w:t>
      </w:r>
      <w:r w:rsidR="00AD0F39">
        <w:t>compliance</w:t>
      </w:r>
      <w:r w:rsidRPr="005A6792">
        <w:t xml:space="preserve"> date of 202</w:t>
      </w:r>
      <w:r w:rsidR="00DD65B0">
        <w:t>7</w:t>
      </w:r>
      <w:r w:rsidRPr="005A6792">
        <w:t>.</w:t>
      </w:r>
      <w:r w:rsidRPr="00612388">
        <w:t xml:space="preserve"> </w:t>
      </w:r>
    </w:p>
    <w:p w14:paraId="5567CBCF" w14:textId="5BEE829E" w:rsidR="00BE3E3C" w:rsidRPr="00437047" w:rsidRDefault="00491B92" w:rsidP="002739B0">
      <w:pPr>
        <w:pStyle w:val="Heading3"/>
      </w:pPr>
      <w:bookmarkStart w:id="25" w:name="_Toc94197912"/>
      <w:bookmarkStart w:id="26" w:name="_Toc117253450"/>
      <w:bookmarkStart w:id="27" w:name="_Toc130201001"/>
      <w:bookmarkStart w:id="28" w:name="_Toc188252319"/>
      <w:r w:rsidRPr="00437047">
        <w:t>2</w:t>
      </w:r>
      <w:r w:rsidR="00BE3E3C" w:rsidRPr="00437047">
        <w:t>.</w:t>
      </w:r>
      <w:r w:rsidR="009F2273" w:rsidRPr="00437047">
        <w:t>1</w:t>
      </w:r>
      <w:r w:rsidR="00BE3E3C" w:rsidRPr="00437047">
        <w:t>.</w:t>
      </w:r>
      <w:r w:rsidR="00A138E3" w:rsidRPr="00437047">
        <w:t>3</w:t>
      </w:r>
      <w:r w:rsidR="00BE3E3C" w:rsidRPr="00437047">
        <w:t xml:space="preserve"> </w:t>
      </w:r>
      <w:r w:rsidR="00A727CC" w:rsidRPr="00437047">
        <w:t>Steam Electric Effluent Limitations Guidelines (40 CFR 423)</w:t>
      </w:r>
      <w:bookmarkEnd w:id="25"/>
      <w:bookmarkEnd w:id="26"/>
      <w:bookmarkEnd w:id="27"/>
      <w:bookmarkEnd w:id="28"/>
    </w:p>
    <w:p w14:paraId="402727CD" w14:textId="47EB9321" w:rsidR="00BE3E3C" w:rsidRPr="00715D58" w:rsidRDefault="00BE3E3C" w:rsidP="000F14DE">
      <w:r w:rsidRPr="4300481F">
        <w:t xml:space="preserve">The </w:t>
      </w:r>
      <w:r w:rsidR="00D95AAE">
        <w:t>ELG</w:t>
      </w:r>
      <w:r w:rsidR="00666135">
        <w:t>s</w:t>
      </w:r>
      <w:r w:rsidR="00D95AAE">
        <w:t xml:space="preserve"> </w:t>
      </w:r>
      <w:r w:rsidRPr="4300481F">
        <w:t xml:space="preserve">for steam electric power generating facilities establish technology-based effluent limitations for </w:t>
      </w:r>
      <w:r w:rsidR="00ED495B">
        <w:t xml:space="preserve">wastewater </w:t>
      </w:r>
      <w:r w:rsidRPr="4300481F">
        <w:t xml:space="preserve">discharges. </w:t>
      </w:r>
      <w:r w:rsidRPr="11BEC75A">
        <w:t xml:space="preserve">In November 2015, EPA </w:t>
      </w:r>
      <w:r w:rsidR="00E73C53">
        <w:t>updated the steam electric ELG</w:t>
      </w:r>
      <w:r w:rsidR="00B74778">
        <w:t>s</w:t>
      </w:r>
      <w:r w:rsidR="00E73C53">
        <w:t xml:space="preserve"> for the first time since 1982</w:t>
      </w:r>
      <w:r w:rsidR="0041439B">
        <w:t xml:space="preserve"> (the “2015 Rule”)</w:t>
      </w:r>
      <w:r w:rsidR="00685EF6">
        <w:t xml:space="preserve">, requiring </w:t>
      </w:r>
      <w:r w:rsidR="00256AAB" w:rsidRPr="03BDFAA6">
        <w:t>compliance as soon as November 1, 2018</w:t>
      </w:r>
      <w:r w:rsidR="00321B1B" w:rsidRPr="03BDFAA6">
        <w:t>,</w:t>
      </w:r>
      <w:r w:rsidR="00256AAB" w:rsidRPr="03BDFAA6">
        <w:t xml:space="preserve"> but no later than December 31, 2023, as determined by the NPDES permitting authority</w:t>
      </w:r>
      <w:r w:rsidR="00286182" w:rsidRPr="03BDFAA6">
        <w:t xml:space="preserve">. </w:t>
      </w:r>
      <w:r w:rsidR="00BC6D92" w:rsidRPr="03BDFAA6">
        <w:t>T</w:t>
      </w:r>
      <w:r w:rsidR="00315F7E" w:rsidRPr="03BDFAA6">
        <w:t xml:space="preserve">echnology-based </w:t>
      </w:r>
      <w:r w:rsidR="006C13E4" w:rsidRPr="03BDFAA6">
        <w:t>standards affecting coal ash management includ</w:t>
      </w:r>
      <w:r w:rsidR="00286182" w:rsidRPr="03BDFAA6">
        <w:t>ed</w:t>
      </w:r>
      <w:r w:rsidR="006C13E4" w:rsidRPr="03BDFAA6">
        <w:t xml:space="preserve"> </w:t>
      </w:r>
      <w:r w:rsidRPr="03BDFAA6">
        <w:t xml:space="preserve">a </w:t>
      </w:r>
      <w:r w:rsidR="784BBA9D" w:rsidRPr="03BDFAA6">
        <w:t xml:space="preserve">ZLD </w:t>
      </w:r>
      <w:r w:rsidRPr="03BDFAA6">
        <w:t>limit for bottom ash and fly ash transport water</w:t>
      </w:r>
      <w:r w:rsidR="00F67B70" w:rsidRPr="03BDFAA6">
        <w:t xml:space="preserve"> and</w:t>
      </w:r>
      <w:r w:rsidR="00DD7F09" w:rsidRPr="03BDFAA6">
        <w:t xml:space="preserve"> </w:t>
      </w:r>
      <w:r w:rsidR="006C13E4" w:rsidRPr="03BDFAA6">
        <w:t>new limits for direct discharges of “legacy wastewate</w:t>
      </w:r>
      <w:r w:rsidR="00DD7F09" w:rsidRPr="03BDFAA6">
        <w:t>r</w:t>
      </w:r>
      <w:r w:rsidR="004A7D4A" w:rsidRPr="03BDFAA6">
        <w:t>,</w:t>
      </w:r>
      <w:r w:rsidR="006C13E4" w:rsidRPr="03BDFAA6">
        <w:t>”</w:t>
      </w:r>
      <w:r w:rsidR="004A7D4A" w:rsidRPr="03BDFAA6">
        <w:t xml:space="preserve"> </w:t>
      </w:r>
      <w:r w:rsidR="006C13E4" w:rsidRPr="03BDFAA6">
        <w:t>which includes water remaining in ash ponds.</w:t>
      </w:r>
      <w:r w:rsidRPr="03BDFAA6">
        <w:t xml:space="preserve"> </w:t>
      </w:r>
      <w:r w:rsidR="00417406" w:rsidRPr="03BDFAA6">
        <w:t>T</w:t>
      </w:r>
      <w:r w:rsidR="00185AF2" w:rsidRPr="03BDFAA6">
        <w:t xml:space="preserve">he 2015 Rule </w:t>
      </w:r>
      <w:r w:rsidR="00417406" w:rsidRPr="03BDFAA6">
        <w:t xml:space="preserve">also </w:t>
      </w:r>
      <w:r w:rsidR="000606D1" w:rsidRPr="03BDFAA6">
        <w:t xml:space="preserve">distinguished </w:t>
      </w:r>
      <w:r w:rsidR="00A347B7">
        <w:t>CRL</w:t>
      </w:r>
      <w:r w:rsidR="000606D1" w:rsidRPr="03BDFAA6">
        <w:t xml:space="preserve"> (wastewater collected from lined landfills) from low volume wastewater </w:t>
      </w:r>
      <w:r w:rsidR="0022331F" w:rsidRPr="03BDFAA6">
        <w:t xml:space="preserve">and </w:t>
      </w:r>
      <w:r w:rsidR="00185AF2" w:rsidRPr="03BDFAA6">
        <w:t xml:space="preserve">set </w:t>
      </w:r>
      <w:r w:rsidR="00417406" w:rsidRPr="03BDFAA6">
        <w:t xml:space="preserve">mercury, arsenic, selenium, and nitrate-nitrite </w:t>
      </w:r>
      <w:r w:rsidR="00185AF2" w:rsidRPr="03BDFAA6">
        <w:t xml:space="preserve">limits for </w:t>
      </w:r>
      <w:r w:rsidR="00CC6CDF" w:rsidRPr="03BDFAA6">
        <w:t>scrubber</w:t>
      </w:r>
      <w:r w:rsidR="00185AF2" w:rsidRPr="03BDFAA6">
        <w:t xml:space="preserve"> wastewater. The rule established a VIP for </w:t>
      </w:r>
      <w:r w:rsidR="00340C2F" w:rsidRPr="03BDFAA6">
        <w:t xml:space="preserve">scrubber </w:t>
      </w:r>
      <w:r w:rsidR="00185AF2" w:rsidRPr="03BDFAA6">
        <w:t xml:space="preserve">wastewater providing </w:t>
      </w:r>
      <w:r w:rsidR="007C6733" w:rsidRPr="03BDFAA6">
        <w:t xml:space="preserve">a later compliance deadline of </w:t>
      </w:r>
      <w:r w:rsidR="004A75CB" w:rsidRPr="03BDFAA6">
        <w:t xml:space="preserve">December 31, 2023, </w:t>
      </w:r>
      <w:r w:rsidR="00185AF2" w:rsidRPr="03BDFAA6">
        <w:t xml:space="preserve">for plants </w:t>
      </w:r>
      <w:r w:rsidR="00B3282D" w:rsidRPr="03BDFAA6">
        <w:t>able t</w:t>
      </w:r>
      <w:r w:rsidR="00185AF2" w:rsidRPr="03BDFAA6">
        <w:t xml:space="preserve">o meet more stringent </w:t>
      </w:r>
      <w:r w:rsidR="00CC6CDF" w:rsidRPr="03BDFAA6">
        <w:t>scrubber</w:t>
      </w:r>
      <w:r w:rsidR="00185AF2" w:rsidRPr="03BDFAA6">
        <w:t xml:space="preserve"> wastewater limits based on </w:t>
      </w:r>
      <w:r w:rsidR="00F0252B" w:rsidRPr="03BDFAA6">
        <w:t xml:space="preserve">advanced </w:t>
      </w:r>
      <w:r w:rsidR="00185AF2" w:rsidRPr="03BDFAA6">
        <w:t xml:space="preserve">evaporation technology. </w:t>
      </w:r>
    </w:p>
    <w:p w14:paraId="3CA968A9" w14:textId="5F8F0B6A" w:rsidR="00BE3E3C" w:rsidRPr="00E654CE" w:rsidRDefault="00577F16" w:rsidP="000F14DE">
      <w:r>
        <w:lastRenderedPageBreak/>
        <w:t>With pending</w:t>
      </w:r>
      <w:r w:rsidR="00CD5DF3">
        <w:t xml:space="preserve"> </w:t>
      </w:r>
      <w:r w:rsidR="00F16118">
        <w:t xml:space="preserve">legal challenges and petitions for reconsideration, </w:t>
      </w:r>
      <w:r w:rsidR="00050D0C">
        <w:t>in 2017</w:t>
      </w:r>
      <w:r w:rsidR="008C666F">
        <w:t>,</w:t>
      </w:r>
      <w:r w:rsidR="00050D0C">
        <w:t xml:space="preserve"> </w:t>
      </w:r>
      <w:r w:rsidR="00BE3E3C">
        <w:t xml:space="preserve">the </w:t>
      </w:r>
      <w:r w:rsidR="003C6078">
        <w:t>then-</w:t>
      </w:r>
      <w:r w:rsidR="00BE3E3C">
        <w:t xml:space="preserve">EPA </w:t>
      </w:r>
      <w:r w:rsidR="008C666F">
        <w:t>A</w:t>
      </w:r>
      <w:r w:rsidR="00BE3E3C">
        <w:t xml:space="preserve">dministrator </w:t>
      </w:r>
      <w:r w:rsidR="00B651B1">
        <w:t xml:space="preserve">took actions that </w:t>
      </w:r>
      <w:r w:rsidR="00BE3E3C" w:rsidRPr="37612734">
        <w:t>push</w:t>
      </w:r>
      <w:r w:rsidR="00B651B1">
        <w:t>ed</w:t>
      </w:r>
      <w:r w:rsidR="00BE3E3C" w:rsidRPr="37612734">
        <w:t xml:space="preserve"> out the earliest compliance dates</w:t>
      </w:r>
      <w:r w:rsidR="3429E01A" w:rsidRPr="1D98B1BB">
        <w:t>,</w:t>
      </w:r>
      <w:r w:rsidR="00BE3E3C" w:rsidRPr="37612734">
        <w:t xml:space="preserve"> </w:t>
      </w:r>
      <w:r w:rsidR="003849FE">
        <w:t xml:space="preserve">specifically </w:t>
      </w:r>
      <w:r w:rsidR="00BE3E3C" w:rsidRPr="37612734">
        <w:t xml:space="preserve">for bottom ash transport water and </w:t>
      </w:r>
      <w:r w:rsidR="00856800">
        <w:t>scrubber</w:t>
      </w:r>
      <w:r w:rsidR="00BE3E3C" w:rsidRPr="37612734">
        <w:t xml:space="preserve"> wastewater</w:t>
      </w:r>
      <w:r w:rsidR="12EB5D73" w:rsidRPr="1D98B1BB">
        <w:t>,</w:t>
      </w:r>
      <w:r w:rsidR="00BE3E3C" w:rsidRPr="37612734">
        <w:t xml:space="preserve"> </w:t>
      </w:r>
      <w:r w:rsidR="004C0BBB">
        <w:t>by two years to</w:t>
      </w:r>
      <w:r w:rsidR="00BE3E3C" w:rsidRPr="37612734">
        <w:t xml:space="preserve"> November 1, 2020, </w:t>
      </w:r>
      <w:r w:rsidR="004C0BBB">
        <w:t xml:space="preserve">to provide time for </w:t>
      </w:r>
      <w:r w:rsidR="00BE3E3C" w:rsidRPr="37612734">
        <w:t xml:space="preserve">EPA to reconsider the </w:t>
      </w:r>
      <w:r w:rsidR="004165F1">
        <w:t>standards for those waste</w:t>
      </w:r>
      <w:r w:rsidR="00131F9C">
        <w:t xml:space="preserve"> </w:t>
      </w:r>
      <w:r w:rsidR="004165F1">
        <w:t>streams.</w:t>
      </w:r>
      <w:r w:rsidR="00BE3E3C" w:rsidRPr="37612734">
        <w:t xml:space="preserve"> </w:t>
      </w:r>
      <w:r w:rsidR="004D0A26">
        <w:t>In addition, i</w:t>
      </w:r>
      <w:r w:rsidR="00BE3E3C" w:rsidRPr="405B4DCE">
        <w:t>n April 2019, the U.S. Court of Appeals for the Fifth Circuit vacat</w:t>
      </w:r>
      <w:r w:rsidR="00995DF7">
        <w:t>ed</w:t>
      </w:r>
      <w:r w:rsidR="00BE3E3C" w:rsidRPr="405B4DCE">
        <w:t xml:space="preserve"> aspects of the 2015 Rule </w:t>
      </w:r>
      <w:r w:rsidR="001D1FE2">
        <w:t>related</w:t>
      </w:r>
      <w:r w:rsidR="00BE3E3C" w:rsidRPr="405B4DCE">
        <w:t xml:space="preserve"> to legacy wastewater and </w:t>
      </w:r>
      <w:r w:rsidR="00A347B7">
        <w:t>CRL</w:t>
      </w:r>
      <w:r w:rsidR="005C0CEA">
        <w:t xml:space="preserve">, </w:t>
      </w:r>
      <w:r w:rsidR="00332869">
        <w:t xml:space="preserve">determining that EPA should have considered more advanced technology in setting the standards and </w:t>
      </w:r>
      <w:r w:rsidR="005C0CEA">
        <w:t>requiring EPA to consider revising</w:t>
      </w:r>
      <w:r w:rsidR="00332869">
        <w:t xml:space="preserve"> these</w:t>
      </w:r>
      <w:r w:rsidR="005C0CEA">
        <w:t xml:space="preserve"> portions of the rule</w:t>
      </w:r>
      <w:r w:rsidR="00BE3E3C" w:rsidRPr="405B4DCE">
        <w:t>.</w:t>
      </w:r>
      <w:r w:rsidR="007C14B7">
        <w:t xml:space="preserve"> </w:t>
      </w:r>
    </w:p>
    <w:p w14:paraId="5BE22E50" w14:textId="7A5CC2DC" w:rsidR="00F42A14" w:rsidRDefault="00BE3E3C" w:rsidP="000F14DE">
      <w:pPr>
        <w:rPr>
          <w:rFonts w:cstheme="minorHAnsi"/>
        </w:rPr>
      </w:pPr>
      <w:r w:rsidRPr="11BEC75A">
        <w:t>In October 2020, EPA finalized</w:t>
      </w:r>
      <w:r w:rsidR="009E0A24">
        <w:t xml:space="preserve"> revisions to the ELGs</w:t>
      </w:r>
      <w:r w:rsidRPr="11BEC75A">
        <w:t xml:space="preserve"> </w:t>
      </w:r>
      <w:r w:rsidR="00F65F60">
        <w:t xml:space="preserve">for steam electric power generating facilities </w:t>
      </w:r>
      <w:r w:rsidR="009E0A24">
        <w:t>(“</w:t>
      </w:r>
      <w:r>
        <w:t xml:space="preserve">ELG </w:t>
      </w:r>
      <w:r w:rsidRPr="11BEC75A">
        <w:t>Reconsideration Rule</w:t>
      </w:r>
      <w:r w:rsidR="009E0A24">
        <w:t>”)</w:t>
      </w:r>
      <w:r w:rsidRPr="11BEC75A">
        <w:t xml:space="preserve"> for </w:t>
      </w:r>
      <w:r w:rsidR="00963BF0">
        <w:t>scrubber</w:t>
      </w:r>
      <w:r w:rsidR="009E0A24" w:rsidRPr="11BEC75A">
        <w:t xml:space="preserve"> wastewater and bottom ash transport water</w:t>
      </w:r>
      <w:r w:rsidR="0059229D">
        <w:t>,</w:t>
      </w:r>
      <w:r w:rsidRPr="11BEC75A">
        <w:t xml:space="preserve"> provid</w:t>
      </w:r>
      <w:r w:rsidR="0059229D">
        <w:t>ing</w:t>
      </w:r>
      <w:r w:rsidRPr="11BEC75A">
        <w:t xml:space="preserve"> a two-year extension of compliance time frames </w:t>
      </w:r>
      <w:r w:rsidR="00F42A14">
        <w:t>to no later than December 31, 2025</w:t>
      </w:r>
      <w:r w:rsidR="00031602">
        <w:t>,</w:t>
      </w:r>
      <w:r w:rsidR="00F42A14">
        <w:t xml:space="preserve"> </w:t>
      </w:r>
      <w:r w:rsidR="009C7996">
        <w:t>for these waste streams</w:t>
      </w:r>
      <w:r w:rsidRPr="11BEC75A">
        <w:t xml:space="preserve">. </w:t>
      </w:r>
      <w:r w:rsidR="00C94565" w:rsidRPr="00C425B0">
        <w:rPr>
          <w:rFonts w:cstheme="minorHAnsi"/>
        </w:rPr>
        <w:t xml:space="preserve">For bottom ash transport water, the </w:t>
      </w:r>
      <w:r w:rsidR="00C94565">
        <w:rPr>
          <w:rFonts w:cstheme="minorHAnsi"/>
        </w:rPr>
        <w:t>r</w:t>
      </w:r>
      <w:r w:rsidR="00C94565" w:rsidRPr="00C425B0">
        <w:rPr>
          <w:rFonts w:cstheme="minorHAnsi"/>
        </w:rPr>
        <w:t xml:space="preserve">ule established </w:t>
      </w:r>
      <w:r w:rsidR="00C94565">
        <w:rPr>
          <w:rFonts w:cstheme="minorHAnsi"/>
        </w:rPr>
        <w:t>a case-by-case permitting mechanism to recognize that some systems may require a limited purge rate, rather than a blanket no discharge limit as established in the 2015 Rule.</w:t>
      </w:r>
      <w:r w:rsidR="0059229D">
        <w:rPr>
          <w:rFonts w:cstheme="minorHAnsi"/>
        </w:rPr>
        <w:t xml:space="preserve"> </w:t>
      </w:r>
      <w:r w:rsidRPr="00C425B0">
        <w:rPr>
          <w:rFonts w:cstheme="minorHAnsi"/>
        </w:rPr>
        <w:t xml:space="preserve">For </w:t>
      </w:r>
      <w:r w:rsidR="00963BF0">
        <w:rPr>
          <w:rFonts w:cstheme="minorHAnsi"/>
        </w:rPr>
        <w:t>scrubber</w:t>
      </w:r>
      <w:r w:rsidRPr="00C425B0">
        <w:rPr>
          <w:rFonts w:cstheme="minorHAnsi"/>
        </w:rPr>
        <w:t xml:space="preserve"> wastewater, the </w:t>
      </w:r>
      <w:r w:rsidR="0052476A">
        <w:rPr>
          <w:rFonts w:cstheme="minorHAnsi"/>
        </w:rPr>
        <w:t xml:space="preserve">ELG Reconsideration </w:t>
      </w:r>
      <w:r w:rsidRPr="00C425B0">
        <w:rPr>
          <w:rFonts w:cstheme="minorHAnsi"/>
        </w:rPr>
        <w:t xml:space="preserve">Rule established </w:t>
      </w:r>
      <w:r w:rsidR="008D7454">
        <w:rPr>
          <w:rFonts w:cstheme="minorHAnsi"/>
        </w:rPr>
        <w:t xml:space="preserve">standards based on wastewater treatment technology </w:t>
      </w:r>
      <w:r w:rsidR="009820D4">
        <w:rPr>
          <w:rFonts w:cstheme="minorHAnsi"/>
        </w:rPr>
        <w:t xml:space="preserve">consisting of a </w:t>
      </w:r>
      <w:r w:rsidRPr="00C425B0">
        <w:rPr>
          <w:rFonts w:cstheme="minorHAnsi"/>
        </w:rPr>
        <w:t>combination of</w:t>
      </w:r>
      <w:r w:rsidR="005E2AAC">
        <w:rPr>
          <w:rFonts w:cstheme="minorHAnsi"/>
        </w:rPr>
        <w:t xml:space="preserve"> </w:t>
      </w:r>
      <w:r w:rsidRPr="00C425B0">
        <w:rPr>
          <w:rFonts w:cstheme="minorHAnsi"/>
        </w:rPr>
        <w:t>chemical precipitation followed by biological treatment (also referred to as physical</w:t>
      </w:r>
      <w:r w:rsidR="00F22E1A">
        <w:rPr>
          <w:rFonts w:cstheme="minorHAnsi"/>
        </w:rPr>
        <w:t>-</w:t>
      </w:r>
      <w:r w:rsidRPr="00C425B0">
        <w:rPr>
          <w:rFonts w:cstheme="minorHAnsi"/>
        </w:rPr>
        <w:t>chemical</w:t>
      </w:r>
      <w:r w:rsidR="00F22E1A">
        <w:rPr>
          <w:rFonts w:cstheme="minorHAnsi"/>
        </w:rPr>
        <w:t>-</w:t>
      </w:r>
      <w:r w:rsidRPr="00C425B0">
        <w:rPr>
          <w:rFonts w:cstheme="minorHAnsi"/>
        </w:rPr>
        <w:t>biological treatment or “</w:t>
      </w:r>
      <w:proofErr w:type="spellStart"/>
      <w:r w:rsidRPr="00C425B0">
        <w:rPr>
          <w:rFonts w:cstheme="minorHAnsi"/>
        </w:rPr>
        <w:t>phys</w:t>
      </w:r>
      <w:proofErr w:type="spellEnd"/>
      <w:r w:rsidR="00BF1A15">
        <w:rPr>
          <w:rFonts w:cstheme="minorHAnsi"/>
        </w:rPr>
        <w:t>-</w:t>
      </w:r>
      <w:r w:rsidRPr="00C425B0">
        <w:rPr>
          <w:rFonts w:cstheme="minorHAnsi"/>
        </w:rPr>
        <w:t>chem</w:t>
      </w:r>
      <w:r w:rsidR="00BF1A15">
        <w:rPr>
          <w:rFonts w:cstheme="minorHAnsi"/>
        </w:rPr>
        <w:t>-</w:t>
      </w:r>
      <w:r w:rsidRPr="00C425B0">
        <w:rPr>
          <w:rFonts w:cstheme="minorHAnsi"/>
        </w:rPr>
        <w:t>bio”)</w:t>
      </w:r>
      <w:r w:rsidR="00054A12">
        <w:rPr>
          <w:rFonts w:cstheme="minorHAnsi"/>
        </w:rPr>
        <w:t>.</w:t>
      </w:r>
      <w:r w:rsidRPr="00C425B0">
        <w:rPr>
          <w:rFonts w:cstheme="minorHAnsi"/>
        </w:rPr>
        <w:t xml:space="preserve"> As compared to the 2015 Rule, the </w:t>
      </w:r>
      <w:r w:rsidR="006E6813">
        <w:rPr>
          <w:rFonts w:cstheme="minorHAnsi"/>
        </w:rPr>
        <w:t>scrubber</w:t>
      </w:r>
      <w:r w:rsidR="00C82053">
        <w:rPr>
          <w:rFonts w:cstheme="minorHAnsi"/>
        </w:rPr>
        <w:t xml:space="preserve"> wastewater </w:t>
      </w:r>
      <w:r w:rsidRPr="00C425B0">
        <w:rPr>
          <w:rFonts w:cstheme="minorHAnsi"/>
        </w:rPr>
        <w:t xml:space="preserve">limits were slightly less stringent for arsenic and selenium and significantly more stringent for mercury and nitrate-nitrite. </w:t>
      </w:r>
    </w:p>
    <w:p w14:paraId="6631113D" w14:textId="7CFA563B" w:rsidR="00BE3E3C" w:rsidRPr="00161484" w:rsidRDefault="009820D4" w:rsidP="000F14DE">
      <w:pPr>
        <w:rPr>
          <w:rFonts w:cstheme="minorHAnsi"/>
        </w:rPr>
      </w:pPr>
      <w:r w:rsidRPr="1C5E7B59">
        <w:t>T</w:t>
      </w:r>
      <w:r w:rsidR="00BE3E3C" w:rsidRPr="1C5E7B59">
        <w:t xml:space="preserve">he </w:t>
      </w:r>
      <w:r w:rsidR="005207F5" w:rsidRPr="1C5E7B59">
        <w:t xml:space="preserve">ELG Reconsideration </w:t>
      </w:r>
      <w:r w:rsidR="00BE3E3C" w:rsidRPr="1C5E7B59">
        <w:t xml:space="preserve">Rule </w:t>
      </w:r>
      <w:r w:rsidR="00A54BC0" w:rsidRPr="1C5E7B59">
        <w:t xml:space="preserve">also </w:t>
      </w:r>
      <w:r w:rsidR="00787605" w:rsidRPr="1C5E7B59">
        <w:t xml:space="preserve">revised or </w:t>
      </w:r>
      <w:r w:rsidR="00A54BC0" w:rsidRPr="1C5E7B59">
        <w:t xml:space="preserve">established subcategories with tailored limits and applicability dates. </w:t>
      </w:r>
      <w:r w:rsidR="00787605" w:rsidRPr="1C5E7B59">
        <w:t xml:space="preserve">The </w:t>
      </w:r>
      <w:r w:rsidR="00BE3E3C" w:rsidRPr="1C5E7B59">
        <w:t>revised VIP</w:t>
      </w:r>
      <w:r w:rsidR="00E41D66" w:rsidRPr="1C5E7B59">
        <w:t xml:space="preserve"> </w:t>
      </w:r>
      <w:r w:rsidR="00BE3E3C" w:rsidRPr="1C5E7B59">
        <w:t>subcategory</w:t>
      </w:r>
      <w:r w:rsidR="006C1029" w:rsidRPr="1C5E7B59">
        <w:t xml:space="preserve"> for </w:t>
      </w:r>
      <w:r w:rsidR="00B0400D" w:rsidRPr="1C5E7B59">
        <w:t>scrubber</w:t>
      </w:r>
      <w:r w:rsidR="006C1029" w:rsidRPr="1C5E7B59">
        <w:t xml:space="preserve"> wastewater</w:t>
      </w:r>
      <w:r w:rsidR="00BE3E3C" w:rsidRPr="1C5E7B59">
        <w:t xml:space="preserve"> provid</w:t>
      </w:r>
      <w:r w:rsidR="00787605" w:rsidRPr="1C5E7B59">
        <w:t>es</w:t>
      </w:r>
      <w:r w:rsidR="00BE3E3C" w:rsidRPr="1C5E7B59">
        <w:t xml:space="preserve"> until December 31, 2028, for plants to achieve more stringent ELGs </w:t>
      </w:r>
      <w:r w:rsidR="0066228A" w:rsidRPr="1C5E7B59">
        <w:t>for</w:t>
      </w:r>
      <w:r w:rsidR="00BE3E3C" w:rsidRPr="1C5E7B59">
        <w:t xml:space="preserve"> mercury, arsenic, selenium, nitrate-nitrite, bromide, and total dissolved solids based on membrane filtration.</w:t>
      </w:r>
      <w:r w:rsidR="005207F5" w:rsidRPr="1C5E7B59">
        <w:t xml:space="preserve"> </w:t>
      </w:r>
      <w:r w:rsidR="00031B64" w:rsidRPr="1C5E7B59">
        <w:t xml:space="preserve">A new </w:t>
      </w:r>
      <w:r w:rsidR="00F645C5" w:rsidRPr="1C5E7B59">
        <w:t xml:space="preserve">subcategory </w:t>
      </w:r>
      <w:r w:rsidR="00031B64" w:rsidRPr="1C5E7B59">
        <w:t xml:space="preserve">was established that </w:t>
      </w:r>
      <w:r w:rsidR="0083384E" w:rsidRPr="1C5E7B59">
        <w:t xml:space="preserve">provided a compliance exemption </w:t>
      </w:r>
      <w:r w:rsidR="00F645C5" w:rsidRPr="1C5E7B59">
        <w:t xml:space="preserve">for </w:t>
      </w:r>
      <w:r w:rsidR="000B2AC0">
        <w:t>EGUs</w:t>
      </w:r>
      <w:r w:rsidR="00BE3E3C" w:rsidRPr="1C5E7B59">
        <w:t xml:space="preserve"> that will permanently cease the combustion of coal</w:t>
      </w:r>
      <w:r w:rsidR="00F645C5" w:rsidRPr="1C5E7B59">
        <w:t xml:space="preserve"> </w:t>
      </w:r>
      <w:r w:rsidR="0066228A" w:rsidRPr="1C5E7B59">
        <w:t xml:space="preserve">(through retirement or repowering) </w:t>
      </w:r>
      <w:r w:rsidR="00F645C5" w:rsidRPr="1C5E7B59">
        <w:t>no later than</w:t>
      </w:r>
      <w:r w:rsidR="00BE3E3C" w:rsidRPr="1C5E7B59" w:rsidDel="00ED4412">
        <w:t xml:space="preserve"> </w:t>
      </w:r>
      <w:r w:rsidR="00BE3E3C" w:rsidRPr="1C5E7B59">
        <w:t>December 31, 2028</w:t>
      </w:r>
      <w:r w:rsidR="00EB74B2" w:rsidRPr="1C5E7B59">
        <w:t>. For the cessation of coal combustion subcategory and for the VIP subcategory</w:t>
      </w:r>
      <w:r w:rsidR="0083384E" w:rsidRPr="1C5E7B59">
        <w:t xml:space="preserve">, a Notice of Planned Participation </w:t>
      </w:r>
      <w:r w:rsidR="004A266E" w:rsidRPr="1C5E7B59">
        <w:t>(</w:t>
      </w:r>
      <w:r w:rsidR="006877F7" w:rsidRPr="1C5E7B59">
        <w:t>“</w:t>
      </w:r>
      <w:r w:rsidR="004A266E" w:rsidRPr="1C5E7B59">
        <w:t>NOPP</w:t>
      </w:r>
      <w:r w:rsidR="006877F7" w:rsidRPr="1C5E7B59">
        <w:t>”</w:t>
      </w:r>
      <w:r w:rsidR="004A266E" w:rsidRPr="1C5E7B59">
        <w:t xml:space="preserve">) </w:t>
      </w:r>
      <w:r w:rsidR="0083384E" w:rsidRPr="1C5E7B59">
        <w:t xml:space="preserve">was required to be submitted </w:t>
      </w:r>
      <w:r w:rsidR="00EB74B2" w:rsidRPr="1C5E7B59">
        <w:t xml:space="preserve">by the facility to the permitting authority </w:t>
      </w:r>
      <w:r w:rsidR="0083384E" w:rsidRPr="1C5E7B59">
        <w:t>by October 2021</w:t>
      </w:r>
      <w:r w:rsidR="00CE50A4" w:rsidRPr="1C5E7B59">
        <w:t>.</w:t>
      </w:r>
      <w:r w:rsidR="00F94BAA" w:rsidRPr="1C5E7B59">
        <w:t xml:space="preserve"> </w:t>
      </w:r>
      <w:r w:rsidR="00001F0B" w:rsidRPr="1C5E7B59">
        <w:t xml:space="preserve">Two </w:t>
      </w:r>
      <w:r w:rsidR="00426E4B" w:rsidRPr="1C5E7B59">
        <w:t xml:space="preserve">other </w:t>
      </w:r>
      <w:r w:rsidR="00F94BAA" w:rsidRPr="1C5E7B59">
        <w:t xml:space="preserve">new subcategories, high </w:t>
      </w:r>
      <w:r w:rsidR="00BC63B9" w:rsidRPr="1C5E7B59">
        <w:t>scrubber</w:t>
      </w:r>
      <w:r w:rsidR="00F94BAA" w:rsidRPr="1C5E7B59">
        <w:t xml:space="preserve"> flow plants and </w:t>
      </w:r>
      <w:r w:rsidR="008734A9">
        <w:t>EGUs</w:t>
      </w:r>
      <w:r w:rsidR="00F94BAA" w:rsidRPr="1C5E7B59">
        <w:t xml:space="preserve"> with </w:t>
      </w:r>
      <w:r w:rsidR="00426E4B" w:rsidRPr="1C5E7B59">
        <w:t>capacity factor</w:t>
      </w:r>
      <w:r w:rsidR="008734A9">
        <w:t>s</w:t>
      </w:r>
      <w:r w:rsidR="00426E4B" w:rsidRPr="1C5E7B59">
        <w:t xml:space="preserve"> of less </w:t>
      </w:r>
      <w:r w:rsidR="00F94BAA" w:rsidRPr="1C5E7B59">
        <w:t>than 10</w:t>
      </w:r>
      <w:r w:rsidR="008734A9">
        <w:t>%</w:t>
      </w:r>
      <w:r w:rsidR="00F94BAA" w:rsidRPr="1C5E7B59">
        <w:t xml:space="preserve">, </w:t>
      </w:r>
      <w:r w:rsidR="00426E4B" w:rsidRPr="1C5E7B59">
        <w:t xml:space="preserve">do not apply </w:t>
      </w:r>
      <w:r w:rsidR="00F94BAA" w:rsidRPr="1C5E7B59">
        <w:t>to Georgia Power operations.</w:t>
      </w:r>
    </w:p>
    <w:p w14:paraId="36A5F6A3" w14:textId="3AB2BB54" w:rsidR="00BE3E3C" w:rsidRPr="001C41DB" w:rsidRDefault="00BE3E3C" w:rsidP="000F14DE">
      <w:r w:rsidRPr="002A7CDC">
        <w:t>In 2020, the ELG Reconsideration Rule was challenged by environmental groups and consolidated in the U.S. Court of Appeals for the Fourth Circuit</w:t>
      </w:r>
      <w:r w:rsidR="0097618D">
        <w:t>,</w:t>
      </w:r>
      <w:r w:rsidRPr="002A7CDC">
        <w:t xml:space="preserve"> with industry groups intervening in the case. </w:t>
      </w:r>
      <w:r w:rsidR="008E72F7">
        <w:t xml:space="preserve">In 2021, </w:t>
      </w:r>
      <w:r w:rsidR="000D3212">
        <w:t>t</w:t>
      </w:r>
      <w:r w:rsidR="008E72F7">
        <w:t xml:space="preserve">he court granted </w:t>
      </w:r>
      <w:r w:rsidRPr="002A7CDC">
        <w:t xml:space="preserve">EPA’s motion </w:t>
      </w:r>
      <w:r w:rsidR="008E72F7">
        <w:t xml:space="preserve">to put the case on hold </w:t>
      </w:r>
      <w:r w:rsidR="00DE0304">
        <w:t xml:space="preserve">while </w:t>
      </w:r>
      <w:r w:rsidR="002B2DF2">
        <w:t>EPA</w:t>
      </w:r>
      <w:r w:rsidR="00DE0304">
        <w:t xml:space="preserve"> reviewed the ELG Reconsideration Rule</w:t>
      </w:r>
      <w:r w:rsidR="00FD49AF">
        <w:t xml:space="preserve">. </w:t>
      </w:r>
      <w:r w:rsidR="00DE0304">
        <w:t xml:space="preserve">EPA announced </w:t>
      </w:r>
      <w:r w:rsidR="00231CB8">
        <w:t xml:space="preserve">in August 2021 </w:t>
      </w:r>
      <w:r w:rsidR="00416C1F">
        <w:t xml:space="preserve">that </w:t>
      </w:r>
      <w:r>
        <w:t>it</w:t>
      </w:r>
      <w:r w:rsidR="004D7A87">
        <w:t xml:space="preserve"> would </w:t>
      </w:r>
      <w:r w:rsidR="00430629">
        <w:t>initiate a new rulemaking</w:t>
      </w:r>
      <w:r w:rsidR="006B01DA">
        <w:t xml:space="preserve"> </w:t>
      </w:r>
      <w:r w:rsidR="004D7A87">
        <w:t xml:space="preserve">but stated </w:t>
      </w:r>
      <w:r w:rsidRPr="373BFE13">
        <w:t>that permitting</w:t>
      </w:r>
      <w:r w:rsidRPr="001C41DB">
        <w:t xml:space="preserve"> authorities should continue to implement the ELG Reconsideration Rule</w:t>
      </w:r>
      <w:r w:rsidR="00820272" w:rsidRPr="001C41DB">
        <w:t xml:space="preserve"> requirements</w:t>
      </w:r>
      <w:r w:rsidRPr="001C41DB">
        <w:t xml:space="preserve"> during the process. </w:t>
      </w:r>
    </w:p>
    <w:p w14:paraId="422B01E2" w14:textId="5DF2925E" w:rsidR="00553D7B" w:rsidRPr="00F637A5" w:rsidRDefault="00384E08" w:rsidP="000F14DE">
      <w:r w:rsidRPr="001C41DB">
        <w:t xml:space="preserve">On March 29, 2023, EPA published the proposed Supplemental </w:t>
      </w:r>
      <w:r w:rsidR="00E15733" w:rsidRPr="001C41DB">
        <w:t>ELG</w:t>
      </w:r>
      <w:r w:rsidRPr="001C41DB">
        <w:t xml:space="preserve"> Rule</w:t>
      </w:r>
      <w:r w:rsidR="00F637A5" w:rsidRPr="001C41DB">
        <w:t xml:space="preserve">, which proposed to set a more stringent </w:t>
      </w:r>
      <w:r w:rsidR="001E46D7" w:rsidRPr="001C41DB">
        <w:t>ZLD</w:t>
      </w:r>
      <w:r w:rsidR="00F637A5" w:rsidRPr="001C41DB">
        <w:t xml:space="preserve"> requirem</w:t>
      </w:r>
      <w:r w:rsidR="00F637A5" w:rsidRPr="00F637A5">
        <w:t>ent for scrubber wastewater with compliance required by December 31, 2029. EPA base</w:t>
      </w:r>
      <w:r w:rsidR="00F637A5">
        <w:t>d</w:t>
      </w:r>
      <w:r w:rsidR="00F637A5" w:rsidRPr="00F637A5">
        <w:t xml:space="preserve"> the requirements on </w:t>
      </w:r>
      <w:r w:rsidR="00B61AF3">
        <w:t>the</w:t>
      </w:r>
      <w:r w:rsidR="00F637A5" w:rsidRPr="00F637A5">
        <w:t xml:space="preserve"> implementation of membrane-based scrubber wastewater treatment technology and assumes that facilities can use the treated permeate as scrubber or boiler make-up water </w:t>
      </w:r>
      <w:proofErr w:type="gramStart"/>
      <w:r w:rsidR="00F637A5" w:rsidRPr="00F637A5">
        <w:t>in order to</w:t>
      </w:r>
      <w:proofErr w:type="gramEnd"/>
      <w:r w:rsidR="00F637A5" w:rsidRPr="00F637A5">
        <w:t xml:space="preserve"> achieve zero liquid discharge.</w:t>
      </w:r>
      <w:r w:rsidR="00B259E2">
        <w:t xml:space="preserve"> The proposed rule also addressed new requirements for CRL based on physical-chemical treatment and legacy wastewater </w:t>
      </w:r>
      <w:r w:rsidR="00B259E2">
        <w:lastRenderedPageBreak/>
        <w:t>based on case-by-case determinations by the permitting authority. Under the proposal, the VIP option and cessation of coal combustion subcategories would remain unchanged. In the proposal, EPA state</w:t>
      </w:r>
      <w:r w:rsidR="00FC7BAE">
        <w:t>d</w:t>
      </w:r>
      <w:r w:rsidR="00B259E2">
        <w:t xml:space="preserve"> that facilities should continue to pursue their 2020 ELG Reconsideration Rule compliance plans</w:t>
      </w:r>
      <w:r w:rsidR="00FC7BAE">
        <w:t>,</w:t>
      </w:r>
      <w:r w:rsidR="00B259E2">
        <w:t xml:space="preserve"> </w:t>
      </w:r>
      <w:proofErr w:type="gramStart"/>
      <w:r w:rsidR="00B259E2">
        <w:t>despite the fact that</w:t>
      </w:r>
      <w:proofErr w:type="gramEnd"/>
      <w:r w:rsidR="00B259E2">
        <w:t xml:space="preserve"> the proposal represent</w:t>
      </w:r>
      <w:r w:rsidR="00FC7BAE">
        <w:t>ed</w:t>
      </w:r>
      <w:r w:rsidR="00B259E2">
        <w:t xml:space="preserve"> a significant change from current requirements.</w:t>
      </w:r>
    </w:p>
    <w:p w14:paraId="1311405D" w14:textId="53FE8BDE" w:rsidR="00620637" w:rsidRPr="000F14DE" w:rsidRDefault="00BF5B01" w:rsidP="000F14DE">
      <w:pPr>
        <w:pStyle w:val="Heading3noTOC"/>
        <w:rPr>
          <w:sz w:val="24"/>
          <w:szCs w:val="24"/>
        </w:rPr>
      </w:pPr>
      <w:r w:rsidRPr="000F14DE">
        <w:rPr>
          <w:sz w:val="24"/>
          <w:szCs w:val="24"/>
        </w:rPr>
        <w:t>New</w:t>
      </w:r>
      <w:r w:rsidR="00620637" w:rsidRPr="000F14DE">
        <w:rPr>
          <w:sz w:val="24"/>
          <w:szCs w:val="24"/>
        </w:rPr>
        <w:t xml:space="preserve"> Regulatory Updates</w:t>
      </w:r>
    </w:p>
    <w:p w14:paraId="45823E05" w14:textId="0EECA3F8" w:rsidR="0011677C" w:rsidRPr="006200D8" w:rsidRDefault="002466D1" w:rsidP="000F14DE">
      <w:pPr>
        <w:pStyle w:val="ListParagraph"/>
        <w:numPr>
          <w:ilvl w:val="0"/>
          <w:numId w:val="3"/>
        </w:numPr>
        <w:spacing w:after="0" w:line="259" w:lineRule="auto"/>
        <w:rPr>
          <w:rFonts w:asciiTheme="minorHAnsi" w:eastAsia="Arial" w:hAnsiTheme="minorHAnsi" w:cs="Arial"/>
          <w:b/>
          <w:color w:val="000000" w:themeColor="text1"/>
          <w:sz w:val="22"/>
        </w:rPr>
      </w:pPr>
      <w:r>
        <w:rPr>
          <w:rFonts w:asciiTheme="minorHAnsi" w:eastAsia="Arial" w:hAnsiTheme="minorHAnsi" w:cs="Arial"/>
          <w:color w:val="000000" w:themeColor="text1"/>
          <w:sz w:val="22"/>
        </w:rPr>
        <w:t>On Ma</w:t>
      </w:r>
      <w:r w:rsidR="006F5A9B">
        <w:rPr>
          <w:rFonts w:asciiTheme="minorHAnsi" w:eastAsia="Arial" w:hAnsiTheme="minorHAnsi" w:cs="Arial"/>
          <w:color w:val="000000" w:themeColor="text1"/>
          <w:sz w:val="22"/>
        </w:rPr>
        <w:t>y</w:t>
      </w:r>
      <w:r>
        <w:rPr>
          <w:rFonts w:asciiTheme="minorHAnsi" w:eastAsia="Arial" w:hAnsiTheme="minorHAnsi" w:cs="Arial"/>
          <w:color w:val="000000" w:themeColor="text1"/>
          <w:sz w:val="22"/>
        </w:rPr>
        <w:t xml:space="preserve"> 9, 202</w:t>
      </w:r>
      <w:r w:rsidR="006F5A9B">
        <w:rPr>
          <w:rFonts w:asciiTheme="minorHAnsi" w:eastAsia="Arial" w:hAnsiTheme="minorHAnsi" w:cs="Arial"/>
          <w:color w:val="000000" w:themeColor="text1"/>
          <w:sz w:val="22"/>
        </w:rPr>
        <w:t>4</w:t>
      </w:r>
      <w:r>
        <w:rPr>
          <w:rFonts w:asciiTheme="minorHAnsi" w:eastAsia="Arial" w:hAnsiTheme="minorHAnsi" w:cs="Arial"/>
          <w:color w:val="000000" w:themeColor="text1"/>
          <w:sz w:val="22"/>
        </w:rPr>
        <w:t xml:space="preserve">, </w:t>
      </w:r>
      <w:r w:rsidR="009B12E0" w:rsidRPr="00A10E56">
        <w:rPr>
          <w:rFonts w:asciiTheme="minorHAnsi" w:eastAsia="Arial" w:hAnsiTheme="minorHAnsi" w:cs="Arial"/>
          <w:color w:val="000000" w:themeColor="text1"/>
          <w:sz w:val="22"/>
        </w:rPr>
        <w:t xml:space="preserve">EPA </w:t>
      </w:r>
      <w:r w:rsidR="000B3946" w:rsidRPr="00A10E56">
        <w:rPr>
          <w:rFonts w:asciiTheme="minorHAnsi" w:eastAsia="Arial" w:hAnsiTheme="minorHAnsi" w:cs="Arial"/>
          <w:color w:val="000000" w:themeColor="text1"/>
          <w:sz w:val="22"/>
        </w:rPr>
        <w:t xml:space="preserve">published </w:t>
      </w:r>
      <w:r w:rsidR="005D2F6E" w:rsidRPr="00A10E56">
        <w:rPr>
          <w:rFonts w:asciiTheme="minorHAnsi" w:eastAsia="Arial" w:hAnsiTheme="minorHAnsi" w:cs="Arial"/>
          <w:color w:val="000000" w:themeColor="text1"/>
          <w:sz w:val="22"/>
        </w:rPr>
        <w:t xml:space="preserve">the </w:t>
      </w:r>
      <w:r w:rsidR="006F5A9B">
        <w:rPr>
          <w:rFonts w:asciiTheme="minorHAnsi" w:eastAsia="Arial" w:hAnsiTheme="minorHAnsi" w:cs="Arial"/>
          <w:color w:val="000000" w:themeColor="text1"/>
          <w:sz w:val="22"/>
        </w:rPr>
        <w:t>final</w:t>
      </w:r>
      <w:r w:rsidR="006F5A9B" w:rsidRPr="00A10E56">
        <w:rPr>
          <w:rFonts w:asciiTheme="minorHAnsi" w:eastAsia="Arial" w:hAnsiTheme="minorHAnsi" w:cs="Arial"/>
          <w:color w:val="000000" w:themeColor="text1"/>
          <w:sz w:val="22"/>
        </w:rPr>
        <w:t xml:space="preserve"> </w:t>
      </w:r>
      <w:r w:rsidR="000564CE">
        <w:rPr>
          <w:rFonts w:asciiTheme="minorHAnsi" w:eastAsia="Arial" w:hAnsiTheme="minorHAnsi" w:cs="Arial"/>
          <w:color w:val="000000" w:themeColor="text1"/>
          <w:sz w:val="22"/>
        </w:rPr>
        <w:t xml:space="preserve">Supplemental </w:t>
      </w:r>
      <w:r w:rsidR="009B12E0" w:rsidRPr="00A10E56">
        <w:rPr>
          <w:rFonts w:asciiTheme="minorHAnsi" w:eastAsia="Arial" w:hAnsiTheme="minorHAnsi" w:cs="Arial"/>
          <w:color w:val="000000" w:themeColor="text1"/>
          <w:sz w:val="22"/>
        </w:rPr>
        <w:t xml:space="preserve">ELG </w:t>
      </w:r>
      <w:r w:rsidR="009B12E0" w:rsidRPr="00A96758">
        <w:rPr>
          <w:rFonts w:asciiTheme="minorHAnsi" w:eastAsia="Arial" w:hAnsiTheme="minorHAnsi" w:cs="Arial"/>
          <w:color w:val="000000" w:themeColor="text1"/>
          <w:sz w:val="22"/>
        </w:rPr>
        <w:t>R</w:t>
      </w:r>
      <w:r w:rsidR="00C740C6">
        <w:rPr>
          <w:rFonts w:asciiTheme="minorHAnsi" w:eastAsia="Arial" w:hAnsiTheme="minorHAnsi" w:cs="Arial"/>
          <w:color w:val="000000" w:themeColor="text1"/>
          <w:sz w:val="22"/>
        </w:rPr>
        <w:t>ule</w:t>
      </w:r>
      <w:r w:rsidR="00BF58DB">
        <w:rPr>
          <w:rFonts w:asciiTheme="minorHAnsi" w:eastAsia="Arial" w:hAnsiTheme="minorHAnsi" w:cs="Arial"/>
          <w:color w:val="000000" w:themeColor="text1"/>
          <w:sz w:val="22"/>
        </w:rPr>
        <w:t>, which</w:t>
      </w:r>
      <w:r w:rsidR="00EF7FB1">
        <w:rPr>
          <w:rFonts w:asciiTheme="minorHAnsi" w:eastAsia="Arial" w:hAnsiTheme="minorHAnsi" w:cs="Arial"/>
          <w:color w:val="000000" w:themeColor="text1"/>
          <w:sz w:val="22"/>
        </w:rPr>
        <w:t xml:space="preserve"> is substantially </w:t>
      </w:r>
      <w:proofErr w:type="gramStart"/>
      <w:r w:rsidR="00EF7FB1">
        <w:rPr>
          <w:rFonts w:asciiTheme="minorHAnsi" w:eastAsia="Arial" w:hAnsiTheme="minorHAnsi" w:cs="Arial"/>
          <w:color w:val="000000" w:themeColor="text1"/>
          <w:sz w:val="22"/>
        </w:rPr>
        <w:t>similar to</w:t>
      </w:r>
      <w:proofErr w:type="gramEnd"/>
      <w:r w:rsidR="00EF7FB1">
        <w:rPr>
          <w:rFonts w:asciiTheme="minorHAnsi" w:eastAsia="Arial" w:hAnsiTheme="minorHAnsi" w:cs="Arial"/>
          <w:color w:val="000000" w:themeColor="text1"/>
          <w:sz w:val="22"/>
        </w:rPr>
        <w:t xml:space="preserve"> the 2023 proposal and</w:t>
      </w:r>
      <w:r w:rsidR="00BF58DB">
        <w:rPr>
          <w:rFonts w:asciiTheme="minorHAnsi" w:eastAsia="Arial" w:hAnsiTheme="minorHAnsi" w:cs="Arial"/>
          <w:color w:val="000000" w:themeColor="text1"/>
          <w:sz w:val="22"/>
        </w:rPr>
        <w:t xml:space="preserve"> </w:t>
      </w:r>
      <w:r w:rsidR="0011677C">
        <w:rPr>
          <w:rFonts w:asciiTheme="minorHAnsi" w:eastAsia="Arial" w:hAnsiTheme="minorHAnsi" w:cs="Arial"/>
          <w:color w:val="000000" w:themeColor="text1"/>
          <w:sz w:val="22"/>
        </w:rPr>
        <w:t>includes the following key provisions:</w:t>
      </w:r>
    </w:p>
    <w:p w14:paraId="0B649457" w14:textId="2026819B" w:rsidR="00913C1E" w:rsidRPr="006200D8" w:rsidRDefault="007335A5" w:rsidP="000F14DE">
      <w:pPr>
        <w:pStyle w:val="ListParagraph"/>
        <w:numPr>
          <w:ilvl w:val="1"/>
          <w:numId w:val="3"/>
        </w:numPr>
        <w:spacing w:after="0" w:line="259" w:lineRule="auto"/>
        <w:rPr>
          <w:rFonts w:asciiTheme="minorHAnsi" w:eastAsia="Arial" w:hAnsiTheme="minorHAnsi" w:cs="Arial"/>
          <w:b/>
          <w:color w:val="000000" w:themeColor="text1"/>
          <w:sz w:val="22"/>
        </w:rPr>
      </w:pPr>
      <w:r w:rsidRPr="00BC0F8F">
        <w:rPr>
          <w:rFonts w:asciiTheme="minorHAnsi" w:eastAsia="Arial" w:hAnsiTheme="minorHAnsi" w:cs="Arial"/>
          <w:i/>
          <w:iCs/>
          <w:color w:val="000000" w:themeColor="text1"/>
          <w:sz w:val="22"/>
        </w:rPr>
        <w:t>ZLD</w:t>
      </w:r>
      <w:r w:rsidR="00B07B47" w:rsidRPr="00BC0F8F">
        <w:rPr>
          <w:rFonts w:asciiTheme="minorHAnsi" w:eastAsia="Arial" w:hAnsiTheme="minorHAnsi" w:cs="Arial"/>
          <w:i/>
          <w:iCs/>
          <w:color w:val="000000" w:themeColor="text1"/>
          <w:sz w:val="22"/>
        </w:rPr>
        <w:t xml:space="preserve"> requirement </w:t>
      </w:r>
      <w:r w:rsidR="009B12E0" w:rsidRPr="00BC0F8F">
        <w:rPr>
          <w:rFonts w:asciiTheme="minorHAnsi" w:eastAsia="Arial" w:hAnsiTheme="minorHAnsi" w:cs="Arial"/>
          <w:i/>
          <w:iCs/>
          <w:color w:val="000000" w:themeColor="text1"/>
          <w:sz w:val="22"/>
        </w:rPr>
        <w:t xml:space="preserve">for </w:t>
      </w:r>
      <w:r w:rsidR="00002BF4" w:rsidRPr="00BC0F8F">
        <w:rPr>
          <w:rFonts w:asciiTheme="minorHAnsi" w:eastAsia="Arial" w:hAnsiTheme="minorHAnsi" w:cs="Arial"/>
          <w:i/>
          <w:iCs/>
          <w:color w:val="000000" w:themeColor="text1"/>
          <w:sz w:val="22"/>
        </w:rPr>
        <w:t>scrubber</w:t>
      </w:r>
      <w:r w:rsidR="009B12E0" w:rsidRPr="00BC0F8F">
        <w:rPr>
          <w:rFonts w:asciiTheme="minorHAnsi" w:eastAsia="Arial" w:hAnsiTheme="minorHAnsi" w:cs="Arial"/>
          <w:i/>
          <w:iCs/>
          <w:color w:val="000000" w:themeColor="text1"/>
          <w:sz w:val="22"/>
        </w:rPr>
        <w:t xml:space="preserve"> wastewater</w:t>
      </w:r>
      <w:r w:rsidR="00982587" w:rsidRPr="00BC0F8F">
        <w:rPr>
          <w:rFonts w:asciiTheme="minorHAnsi" w:eastAsia="Arial" w:hAnsiTheme="minorHAnsi" w:cs="Arial"/>
          <w:i/>
          <w:iCs/>
          <w:color w:val="000000" w:themeColor="text1"/>
          <w:sz w:val="22"/>
        </w:rPr>
        <w:t>, bottom ash transport water, and combustion residual leachate</w:t>
      </w:r>
      <w:r w:rsidR="00D30E36" w:rsidRPr="00BC0F8F">
        <w:rPr>
          <w:rFonts w:asciiTheme="minorHAnsi" w:eastAsia="Arial" w:hAnsiTheme="minorHAnsi" w:cs="Arial"/>
          <w:i/>
          <w:iCs/>
          <w:color w:val="000000" w:themeColor="text1"/>
          <w:sz w:val="22"/>
        </w:rPr>
        <w:t>:</w:t>
      </w:r>
      <w:r w:rsidR="009B12E0" w:rsidRPr="00A10E56">
        <w:rPr>
          <w:rFonts w:asciiTheme="minorHAnsi" w:eastAsia="Arial" w:hAnsiTheme="minorHAnsi" w:cs="Arial"/>
          <w:color w:val="000000" w:themeColor="text1"/>
          <w:sz w:val="22"/>
        </w:rPr>
        <w:t xml:space="preserve"> </w:t>
      </w:r>
      <w:r w:rsidR="009756CD">
        <w:rPr>
          <w:rFonts w:asciiTheme="minorHAnsi" w:eastAsia="Arial" w:hAnsiTheme="minorHAnsi" w:cs="Arial"/>
          <w:color w:val="000000" w:themeColor="text1"/>
          <w:sz w:val="22"/>
        </w:rPr>
        <w:t xml:space="preserve">The </w:t>
      </w:r>
      <w:r w:rsidR="008C5E3D">
        <w:rPr>
          <w:rFonts w:asciiTheme="minorHAnsi" w:eastAsia="Arial" w:hAnsiTheme="minorHAnsi" w:cs="Arial"/>
          <w:color w:val="000000" w:themeColor="text1"/>
          <w:sz w:val="22"/>
        </w:rPr>
        <w:t>S</w:t>
      </w:r>
      <w:r w:rsidR="009756CD">
        <w:rPr>
          <w:rFonts w:asciiTheme="minorHAnsi" w:eastAsia="Arial" w:hAnsiTheme="minorHAnsi" w:cs="Arial"/>
          <w:color w:val="000000" w:themeColor="text1"/>
          <w:sz w:val="22"/>
        </w:rPr>
        <w:t xml:space="preserve">upplemental </w:t>
      </w:r>
      <w:r w:rsidR="000564CE">
        <w:rPr>
          <w:rFonts w:asciiTheme="minorHAnsi" w:eastAsia="Arial" w:hAnsiTheme="minorHAnsi" w:cs="Arial"/>
          <w:color w:val="000000" w:themeColor="text1"/>
          <w:sz w:val="22"/>
        </w:rPr>
        <w:t xml:space="preserve">ELG </w:t>
      </w:r>
      <w:r w:rsidR="009756CD">
        <w:rPr>
          <w:rFonts w:asciiTheme="minorHAnsi" w:eastAsia="Arial" w:hAnsiTheme="minorHAnsi" w:cs="Arial"/>
          <w:color w:val="000000" w:themeColor="text1"/>
          <w:sz w:val="22"/>
        </w:rPr>
        <w:t>Rule sets</w:t>
      </w:r>
      <w:r w:rsidR="00AC7B3A">
        <w:rPr>
          <w:rFonts w:asciiTheme="minorHAnsi" w:eastAsia="Arial" w:hAnsiTheme="minorHAnsi" w:cs="Arial"/>
          <w:color w:val="000000" w:themeColor="text1"/>
          <w:sz w:val="22"/>
        </w:rPr>
        <w:t xml:space="preserve"> </w:t>
      </w:r>
      <w:r w:rsidR="00AC7B3A" w:rsidRPr="00A10E56">
        <w:rPr>
          <w:rFonts w:asciiTheme="minorHAnsi" w:eastAsia="Arial" w:hAnsiTheme="minorHAnsi" w:cs="Arial"/>
          <w:color w:val="000000" w:themeColor="text1"/>
          <w:sz w:val="22"/>
        </w:rPr>
        <w:t>more stringent</w:t>
      </w:r>
      <w:r w:rsidR="00AC7B3A">
        <w:rPr>
          <w:rFonts w:asciiTheme="minorHAnsi" w:eastAsia="Arial" w:hAnsiTheme="minorHAnsi" w:cs="Arial"/>
          <w:color w:val="000000" w:themeColor="text1"/>
          <w:sz w:val="22"/>
        </w:rPr>
        <w:t xml:space="preserve"> ZLD</w:t>
      </w:r>
      <w:r w:rsidR="001C0455">
        <w:rPr>
          <w:rFonts w:asciiTheme="minorHAnsi" w:eastAsia="Arial" w:hAnsiTheme="minorHAnsi" w:cs="Arial"/>
          <w:color w:val="000000" w:themeColor="text1"/>
          <w:sz w:val="22"/>
        </w:rPr>
        <w:t xml:space="preserve"> requir</w:t>
      </w:r>
      <w:r w:rsidR="008C5E3D">
        <w:rPr>
          <w:rFonts w:asciiTheme="minorHAnsi" w:eastAsia="Arial" w:hAnsiTheme="minorHAnsi" w:cs="Arial"/>
          <w:color w:val="000000" w:themeColor="text1"/>
          <w:sz w:val="22"/>
        </w:rPr>
        <w:t>e</w:t>
      </w:r>
      <w:r w:rsidR="001C0455">
        <w:rPr>
          <w:rFonts w:asciiTheme="minorHAnsi" w:eastAsia="Arial" w:hAnsiTheme="minorHAnsi" w:cs="Arial"/>
          <w:color w:val="000000" w:themeColor="text1"/>
          <w:sz w:val="22"/>
        </w:rPr>
        <w:t>ments</w:t>
      </w:r>
      <w:r w:rsidR="009B12E0" w:rsidRPr="00A10E56">
        <w:rPr>
          <w:rFonts w:asciiTheme="minorHAnsi" w:eastAsia="Arial" w:hAnsiTheme="minorHAnsi" w:cs="Arial"/>
          <w:color w:val="000000" w:themeColor="text1"/>
          <w:sz w:val="22"/>
        </w:rPr>
        <w:t xml:space="preserve"> </w:t>
      </w:r>
      <w:r w:rsidR="009D2A22" w:rsidRPr="00A10E56">
        <w:rPr>
          <w:rFonts w:asciiTheme="minorHAnsi" w:eastAsia="Arial" w:hAnsiTheme="minorHAnsi" w:cs="Arial"/>
          <w:color w:val="000000" w:themeColor="text1"/>
          <w:sz w:val="22"/>
        </w:rPr>
        <w:t xml:space="preserve">with compliance required </w:t>
      </w:r>
      <w:r w:rsidR="001436C4" w:rsidRPr="00A10E56">
        <w:rPr>
          <w:rFonts w:asciiTheme="minorHAnsi" w:eastAsia="Arial" w:hAnsiTheme="minorHAnsi" w:cs="Arial"/>
          <w:color w:val="000000" w:themeColor="text1"/>
          <w:sz w:val="22"/>
        </w:rPr>
        <w:t xml:space="preserve">by </w:t>
      </w:r>
      <w:r w:rsidR="00AA5298">
        <w:rPr>
          <w:rFonts w:asciiTheme="minorHAnsi" w:eastAsia="Arial" w:hAnsiTheme="minorHAnsi" w:cs="Arial"/>
          <w:color w:val="000000" w:themeColor="text1"/>
          <w:sz w:val="22"/>
        </w:rPr>
        <w:t xml:space="preserve">no later than </w:t>
      </w:r>
      <w:r w:rsidR="001436C4" w:rsidRPr="00A10E56">
        <w:rPr>
          <w:rFonts w:asciiTheme="minorHAnsi" w:eastAsia="Arial" w:hAnsiTheme="minorHAnsi" w:cs="Arial"/>
          <w:color w:val="000000" w:themeColor="text1"/>
          <w:sz w:val="22"/>
        </w:rPr>
        <w:t>December 31, 2029</w:t>
      </w:r>
      <w:r w:rsidR="007974FC" w:rsidRPr="00A96758">
        <w:rPr>
          <w:rFonts w:asciiTheme="minorHAnsi" w:eastAsia="Arial" w:hAnsiTheme="minorHAnsi" w:cs="Arial"/>
          <w:color w:val="000000" w:themeColor="text1"/>
          <w:sz w:val="22"/>
        </w:rPr>
        <w:t xml:space="preserve">. </w:t>
      </w:r>
      <w:r w:rsidR="00A4653B" w:rsidRPr="0077712D">
        <w:rPr>
          <w:rFonts w:asciiTheme="minorHAnsi" w:eastAsia="Arial" w:hAnsiTheme="minorHAnsi" w:cs="Arial"/>
          <w:color w:val="000000" w:themeColor="text1"/>
          <w:sz w:val="22"/>
        </w:rPr>
        <w:t xml:space="preserve">The VIP and cessation of coal combustion subcategories remain </w:t>
      </w:r>
      <w:r w:rsidR="00A4653B" w:rsidRPr="00072ABB">
        <w:rPr>
          <w:rFonts w:asciiTheme="minorHAnsi" w:eastAsia="Arial" w:hAnsiTheme="minorHAnsi" w:cstheme="minorHAnsi"/>
          <w:color w:val="000000" w:themeColor="text1"/>
          <w:sz w:val="22"/>
        </w:rPr>
        <w:t>unchanged</w:t>
      </w:r>
      <w:r w:rsidR="0082213A" w:rsidRPr="00072ABB">
        <w:rPr>
          <w:rFonts w:asciiTheme="minorHAnsi" w:eastAsia="Arial" w:hAnsiTheme="minorHAnsi" w:cstheme="minorHAnsi"/>
          <w:color w:val="000000" w:themeColor="text1"/>
          <w:sz w:val="22"/>
        </w:rPr>
        <w:t xml:space="preserve"> from the </w:t>
      </w:r>
      <w:r w:rsidR="006F1161" w:rsidRPr="00072ABB">
        <w:rPr>
          <w:rFonts w:asciiTheme="minorHAnsi" w:eastAsia="Arial" w:hAnsiTheme="minorHAnsi" w:cstheme="minorHAnsi"/>
          <w:color w:val="000000" w:themeColor="text1"/>
          <w:sz w:val="22"/>
        </w:rPr>
        <w:t>2020 Rule</w:t>
      </w:r>
      <w:r w:rsidR="00A4653B" w:rsidRPr="00072ABB">
        <w:rPr>
          <w:rFonts w:asciiTheme="minorHAnsi" w:eastAsia="Arial" w:hAnsiTheme="minorHAnsi" w:cstheme="minorHAnsi"/>
          <w:color w:val="000000" w:themeColor="text1"/>
          <w:sz w:val="22"/>
        </w:rPr>
        <w:t xml:space="preserve">. </w:t>
      </w:r>
      <w:r w:rsidR="00072ABB" w:rsidRPr="00145AD5">
        <w:rPr>
          <w:rStyle w:val="cf01"/>
          <w:rFonts w:asciiTheme="minorHAnsi" w:hAnsiTheme="minorHAnsi" w:cstheme="minorHAnsi"/>
          <w:sz w:val="22"/>
          <w:szCs w:val="22"/>
        </w:rPr>
        <w:t xml:space="preserve">In the 2024 Rule, EPA </w:t>
      </w:r>
      <w:r w:rsidR="00072ABB">
        <w:rPr>
          <w:rStyle w:val="cf01"/>
          <w:rFonts w:asciiTheme="minorHAnsi" w:hAnsiTheme="minorHAnsi" w:cstheme="minorHAnsi"/>
          <w:sz w:val="22"/>
          <w:szCs w:val="22"/>
        </w:rPr>
        <w:t xml:space="preserve">also </w:t>
      </w:r>
      <w:r w:rsidR="00072ABB" w:rsidRPr="00145AD5">
        <w:rPr>
          <w:rStyle w:val="cf01"/>
          <w:rFonts w:asciiTheme="minorHAnsi" w:hAnsiTheme="minorHAnsi" w:cstheme="minorHAnsi"/>
          <w:sz w:val="22"/>
          <w:szCs w:val="22"/>
        </w:rPr>
        <w:t xml:space="preserve">maintains the 2020 Rule </w:t>
      </w:r>
      <w:r w:rsidR="00072ABB">
        <w:rPr>
          <w:rStyle w:val="cf01"/>
          <w:rFonts w:asciiTheme="minorHAnsi" w:hAnsiTheme="minorHAnsi" w:cstheme="minorHAnsi"/>
          <w:sz w:val="22"/>
          <w:szCs w:val="22"/>
        </w:rPr>
        <w:t xml:space="preserve">scrubber wastewater </w:t>
      </w:r>
      <w:r w:rsidR="00072ABB" w:rsidRPr="00145AD5">
        <w:rPr>
          <w:rStyle w:val="cf01"/>
          <w:rFonts w:asciiTheme="minorHAnsi" w:hAnsiTheme="minorHAnsi" w:cstheme="minorHAnsi"/>
          <w:sz w:val="22"/>
          <w:szCs w:val="22"/>
        </w:rPr>
        <w:t>requirements</w:t>
      </w:r>
      <w:r w:rsidR="004E6B4A">
        <w:rPr>
          <w:rStyle w:val="cf01"/>
          <w:rFonts w:asciiTheme="minorHAnsi" w:hAnsiTheme="minorHAnsi" w:cstheme="minorHAnsi"/>
          <w:sz w:val="22"/>
          <w:szCs w:val="22"/>
        </w:rPr>
        <w:t xml:space="preserve"> and </w:t>
      </w:r>
      <w:r w:rsidR="00A626C9">
        <w:rPr>
          <w:rStyle w:val="cf01"/>
          <w:rFonts w:asciiTheme="minorHAnsi" w:hAnsiTheme="minorHAnsi" w:cstheme="minorHAnsi"/>
          <w:sz w:val="22"/>
          <w:szCs w:val="22"/>
        </w:rPr>
        <w:t xml:space="preserve">the </w:t>
      </w:r>
      <w:r w:rsidR="004E6B4A">
        <w:rPr>
          <w:rStyle w:val="cf01"/>
          <w:rFonts w:asciiTheme="minorHAnsi" w:hAnsiTheme="minorHAnsi" w:cstheme="minorHAnsi"/>
          <w:sz w:val="22"/>
          <w:szCs w:val="22"/>
        </w:rPr>
        <w:t xml:space="preserve">December 31, </w:t>
      </w:r>
      <w:proofErr w:type="gramStart"/>
      <w:r w:rsidR="004E6B4A">
        <w:rPr>
          <w:rStyle w:val="cf01"/>
          <w:rFonts w:asciiTheme="minorHAnsi" w:hAnsiTheme="minorHAnsi" w:cstheme="minorHAnsi"/>
          <w:sz w:val="22"/>
          <w:szCs w:val="22"/>
        </w:rPr>
        <w:t>2025</w:t>
      </w:r>
      <w:proofErr w:type="gramEnd"/>
      <w:r w:rsidR="004E6B4A">
        <w:rPr>
          <w:rStyle w:val="cf01"/>
          <w:rFonts w:asciiTheme="minorHAnsi" w:hAnsiTheme="minorHAnsi" w:cstheme="minorHAnsi"/>
          <w:sz w:val="22"/>
          <w:szCs w:val="22"/>
        </w:rPr>
        <w:t xml:space="preserve"> deadline</w:t>
      </w:r>
      <w:r w:rsidR="00072ABB" w:rsidRPr="00145AD5">
        <w:rPr>
          <w:rStyle w:val="cf01"/>
          <w:rFonts w:asciiTheme="minorHAnsi" w:hAnsiTheme="minorHAnsi" w:cstheme="minorHAnsi"/>
          <w:sz w:val="22"/>
          <w:szCs w:val="22"/>
        </w:rPr>
        <w:t xml:space="preserve"> for </w:t>
      </w:r>
      <w:proofErr w:type="spellStart"/>
      <w:r w:rsidR="00072ABB" w:rsidRPr="00145AD5">
        <w:rPr>
          <w:rStyle w:val="cf01"/>
          <w:rFonts w:asciiTheme="minorHAnsi" w:hAnsiTheme="minorHAnsi" w:cstheme="minorHAnsi"/>
          <w:sz w:val="22"/>
          <w:szCs w:val="22"/>
        </w:rPr>
        <w:t>phys</w:t>
      </w:r>
      <w:proofErr w:type="spellEnd"/>
      <w:r w:rsidR="00072ABB" w:rsidRPr="00145AD5">
        <w:rPr>
          <w:rStyle w:val="cf01"/>
          <w:rFonts w:asciiTheme="minorHAnsi" w:hAnsiTheme="minorHAnsi" w:cstheme="minorHAnsi"/>
          <w:sz w:val="22"/>
          <w:szCs w:val="22"/>
        </w:rPr>
        <w:t>-chem-bio treatment to meet arsenic,</w:t>
      </w:r>
      <w:r w:rsidR="00072ABB">
        <w:rPr>
          <w:rStyle w:val="cf01"/>
          <w:rFonts w:asciiTheme="minorHAnsi" w:hAnsiTheme="minorHAnsi" w:cstheme="minorHAnsi"/>
          <w:sz w:val="22"/>
          <w:szCs w:val="22"/>
        </w:rPr>
        <w:t xml:space="preserve"> </w:t>
      </w:r>
      <w:r w:rsidR="00072ABB" w:rsidRPr="00BC0F8F">
        <w:rPr>
          <w:rStyle w:val="cf01"/>
          <w:rFonts w:asciiTheme="minorHAnsi" w:hAnsiTheme="minorHAnsi" w:cstheme="minorHAnsi"/>
          <w:sz w:val="22"/>
          <w:szCs w:val="22"/>
        </w:rPr>
        <w:t>mercury</w:t>
      </w:r>
      <w:r w:rsidR="00072ABB">
        <w:rPr>
          <w:rStyle w:val="cf01"/>
          <w:rFonts w:asciiTheme="minorHAnsi" w:hAnsiTheme="minorHAnsi" w:cstheme="minorHAnsi"/>
          <w:sz w:val="22"/>
          <w:szCs w:val="22"/>
        </w:rPr>
        <w:t>,</w:t>
      </w:r>
      <w:r w:rsidR="00072ABB" w:rsidRPr="00BC0F8F">
        <w:rPr>
          <w:rStyle w:val="cf01"/>
          <w:rFonts w:asciiTheme="minorHAnsi" w:hAnsiTheme="minorHAnsi" w:cstheme="minorHAnsi"/>
          <w:sz w:val="22"/>
          <w:szCs w:val="22"/>
        </w:rPr>
        <w:t xml:space="preserve"> </w:t>
      </w:r>
      <w:r w:rsidR="00072ABB" w:rsidRPr="00A26C44">
        <w:rPr>
          <w:rStyle w:val="cf01"/>
          <w:rFonts w:asciiTheme="minorHAnsi" w:hAnsiTheme="minorHAnsi" w:cstheme="minorHAnsi"/>
          <w:sz w:val="22"/>
          <w:szCs w:val="22"/>
        </w:rPr>
        <w:t>selenium</w:t>
      </w:r>
      <w:r w:rsidR="003675DF">
        <w:rPr>
          <w:rStyle w:val="cf01"/>
          <w:rFonts w:asciiTheme="minorHAnsi" w:hAnsiTheme="minorHAnsi" w:cstheme="minorHAnsi"/>
          <w:sz w:val="22"/>
          <w:szCs w:val="22"/>
        </w:rPr>
        <w:t>,</w:t>
      </w:r>
      <w:r w:rsidR="00072ABB" w:rsidRPr="00072ABB">
        <w:rPr>
          <w:rStyle w:val="cf01"/>
          <w:rFonts w:asciiTheme="minorHAnsi" w:hAnsiTheme="minorHAnsi" w:cstheme="minorHAnsi"/>
          <w:sz w:val="22"/>
          <w:szCs w:val="22"/>
        </w:rPr>
        <w:t xml:space="preserve"> </w:t>
      </w:r>
      <w:r w:rsidR="00072ABB" w:rsidRPr="00BC0F8F">
        <w:rPr>
          <w:rStyle w:val="cf01"/>
          <w:rFonts w:asciiTheme="minorHAnsi" w:hAnsiTheme="minorHAnsi" w:cstheme="minorHAnsi"/>
          <w:sz w:val="22"/>
          <w:szCs w:val="22"/>
        </w:rPr>
        <w:t>and nitrate-nitrite limitations</w:t>
      </w:r>
      <w:r w:rsidR="00A4653B" w:rsidRPr="00072ABB">
        <w:rPr>
          <w:rFonts w:asciiTheme="minorHAnsi" w:eastAsia="Arial" w:hAnsiTheme="minorHAnsi" w:cstheme="minorHAnsi"/>
          <w:color w:val="000000" w:themeColor="text1"/>
          <w:sz w:val="22"/>
        </w:rPr>
        <w:t xml:space="preserve"> </w:t>
      </w:r>
      <w:r w:rsidR="00C30A17" w:rsidRPr="0077712D">
        <w:rPr>
          <w:rFonts w:asciiTheme="minorHAnsi" w:eastAsia="Arial" w:hAnsiTheme="minorHAnsi" w:cs="Arial"/>
          <w:color w:val="000000" w:themeColor="text1"/>
          <w:sz w:val="22"/>
        </w:rPr>
        <w:t>until the applicability dates of the new zero-discharge limitations</w:t>
      </w:r>
      <w:r w:rsidR="000C3091">
        <w:rPr>
          <w:rFonts w:asciiTheme="minorHAnsi" w:eastAsia="Arial" w:hAnsiTheme="minorHAnsi" w:cs="Arial"/>
          <w:color w:val="000000" w:themeColor="text1"/>
          <w:sz w:val="22"/>
        </w:rPr>
        <w:t xml:space="preserve"> </w:t>
      </w:r>
      <w:r w:rsidR="00844A29">
        <w:rPr>
          <w:rFonts w:asciiTheme="minorHAnsi" w:eastAsia="Arial" w:hAnsiTheme="minorHAnsi" w:cs="Arial"/>
          <w:color w:val="000000" w:themeColor="text1"/>
          <w:sz w:val="22"/>
        </w:rPr>
        <w:t>are met (no later than December 31, 2029)</w:t>
      </w:r>
      <w:r w:rsidR="00C30A17" w:rsidRPr="0077712D">
        <w:rPr>
          <w:rFonts w:asciiTheme="minorHAnsi" w:eastAsia="Arial" w:hAnsiTheme="minorHAnsi" w:cs="Arial"/>
          <w:color w:val="000000" w:themeColor="text1"/>
          <w:sz w:val="22"/>
        </w:rPr>
        <w:t>.</w:t>
      </w:r>
      <w:r w:rsidR="007C14B7">
        <w:rPr>
          <w:rFonts w:asciiTheme="minorHAnsi" w:eastAsia="Arial" w:hAnsiTheme="minorHAnsi" w:cs="Arial"/>
          <w:color w:val="000000" w:themeColor="text1"/>
          <w:sz w:val="22"/>
        </w:rPr>
        <w:t xml:space="preserve"> </w:t>
      </w:r>
    </w:p>
    <w:p w14:paraId="1E5668D0" w14:textId="26EA2668" w:rsidR="001118AC" w:rsidRPr="006200D8" w:rsidRDefault="00561B98" w:rsidP="000F14DE">
      <w:pPr>
        <w:pStyle w:val="ListParagraph"/>
        <w:numPr>
          <w:ilvl w:val="1"/>
          <w:numId w:val="3"/>
        </w:numPr>
        <w:spacing w:after="0" w:line="259" w:lineRule="auto"/>
        <w:rPr>
          <w:rFonts w:asciiTheme="minorHAnsi" w:eastAsia="Arial" w:hAnsiTheme="minorHAnsi" w:cs="Arial"/>
          <w:b/>
          <w:color w:val="000000" w:themeColor="text1"/>
          <w:sz w:val="22"/>
        </w:rPr>
      </w:pPr>
      <w:r w:rsidRPr="00BC0F8F">
        <w:rPr>
          <w:rFonts w:asciiTheme="minorHAnsi" w:eastAsia="Arial" w:hAnsiTheme="minorHAnsi" w:cs="Arial"/>
          <w:i/>
          <w:iCs/>
          <w:color w:val="000000" w:themeColor="text1"/>
          <w:sz w:val="22"/>
        </w:rPr>
        <w:t>EGUs permanently ceasing coal combustion (</w:t>
      </w:r>
      <w:r w:rsidR="004E6B4A">
        <w:rPr>
          <w:rFonts w:asciiTheme="minorHAnsi" w:eastAsia="Arial" w:hAnsiTheme="minorHAnsi" w:cs="Arial"/>
          <w:i/>
          <w:iCs/>
          <w:color w:val="000000" w:themeColor="text1"/>
          <w:sz w:val="22"/>
        </w:rPr>
        <w:t>“</w:t>
      </w:r>
      <w:r w:rsidR="00913C1E" w:rsidRPr="00BC0F8F">
        <w:rPr>
          <w:rFonts w:asciiTheme="minorHAnsi" w:eastAsia="Arial" w:hAnsiTheme="minorHAnsi" w:cs="Arial"/>
          <w:i/>
          <w:iCs/>
          <w:color w:val="000000" w:themeColor="text1"/>
          <w:sz w:val="22"/>
        </w:rPr>
        <w:t>PCCC</w:t>
      </w:r>
      <w:r w:rsidR="004E6B4A">
        <w:rPr>
          <w:rFonts w:asciiTheme="minorHAnsi" w:eastAsia="Arial" w:hAnsiTheme="minorHAnsi" w:cs="Arial"/>
          <w:i/>
          <w:iCs/>
          <w:color w:val="000000" w:themeColor="text1"/>
          <w:sz w:val="22"/>
        </w:rPr>
        <w:t>”</w:t>
      </w:r>
      <w:r w:rsidRPr="00BC0F8F">
        <w:rPr>
          <w:rFonts w:asciiTheme="minorHAnsi" w:eastAsia="Arial" w:hAnsiTheme="minorHAnsi" w:cs="Arial"/>
          <w:i/>
          <w:iCs/>
          <w:color w:val="000000" w:themeColor="text1"/>
          <w:sz w:val="22"/>
        </w:rPr>
        <w:t>)</w:t>
      </w:r>
      <w:r w:rsidR="00913C1E" w:rsidRPr="00BC0F8F">
        <w:rPr>
          <w:rFonts w:asciiTheme="minorHAnsi" w:eastAsia="Arial" w:hAnsiTheme="minorHAnsi" w:cs="Arial"/>
          <w:i/>
          <w:iCs/>
          <w:color w:val="000000" w:themeColor="text1"/>
          <w:sz w:val="22"/>
        </w:rPr>
        <w:t xml:space="preserve"> by 2034</w:t>
      </w:r>
      <w:r w:rsidR="00913C1E">
        <w:rPr>
          <w:rFonts w:asciiTheme="minorHAnsi" w:eastAsia="Arial" w:hAnsiTheme="minorHAnsi" w:cs="Arial"/>
          <w:color w:val="000000" w:themeColor="text1"/>
          <w:sz w:val="22"/>
        </w:rPr>
        <w:t>:</w:t>
      </w:r>
      <w:r w:rsidR="00A10E56" w:rsidRPr="00A10E56">
        <w:rPr>
          <w:rFonts w:asciiTheme="minorHAnsi" w:eastAsia="Arial" w:hAnsiTheme="minorHAnsi" w:cs="Arial"/>
          <w:color w:val="000000" w:themeColor="text1"/>
          <w:sz w:val="22"/>
        </w:rPr>
        <w:t xml:space="preserve"> </w:t>
      </w:r>
      <w:r w:rsidR="00B3116B">
        <w:rPr>
          <w:rFonts w:asciiTheme="minorHAnsi" w:eastAsia="Arial" w:hAnsiTheme="minorHAnsi" w:cs="Arial"/>
          <w:color w:val="000000" w:themeColor="text1"/>
          <w:sz w:val="22"/>
        </w:rPr>
        <w:t>F</w:t>
      </w:r>
      <w:r w:rsidR="00B3116B" w:rsidRPr="00A10E56">
        <w:rPr>
          <w:rFonts w:asciiTheme="minorHAnsi" w:eastAsia="Arial" w:hAnsiTheme="minorHAnsi" w:cs="Arial"/>
          <w:color w:val="000000" w:themeColor="text1"/>
          <w:sz w:val="22"/>
        </w:rPr>
        <w:t xml:space="preserve">acilities </w:t>
      </w:r>
      <w:r w:rsidR="00611858" w:rsidRPr="00611858">
        <w:rPr>
          <w:rFonts w:asciiTheme="minorHAnsi" w:eastAsia="Arial" w:hAnsiTheme="minorHAnsi" w:cs="Arial"/>
          <w:color w:val="000000" w:themeColor="text1"/>
          <w:sz w:val="22"/>
        </w:rPr>
        <w:t xml:space="preserve">qualify for this subcategory by satisfying the 2020 Rule’s </w:t>
      </w:r>
      <w:bookmarkStart w:id="29" w:name="_Int_DFT0msuh"/>
      <w:r w:rsidR="00611858" w:rsidRPr="00611858">
        <w:rPr>
          <w:rFonts w:asciiTheme="minorHAnsi" w:eastAsia="Arial" w:hAnsiTheme="minorHAnsi" w:cs="Arial"/>
          <w:color w:val="000000" w:themeColor="text1"/>
          <w:sz w:val="22"/>
        </w:rPr>
        <w:t>generally applicable</w:t>
      </w:r>
      <w:bookmarkEnd w:id="29"/>
      <w:r w:rsidR="00611858" w:rsidRPr="00611858">
        <w:rPr>
          <w:rFonts w:asciiTheme="minorHAnsi" w:eastAsia="Arial" w:hAnsiTheme="minorHAnsi" w:cs="Arial"/>
          <w:color w:val="000000" w:themeColor="text1"/>
          <w:sz w:val="22"/>
        </w:rPr>
        <w:t xml:space="preserve"> limits for </w:t>
      </w:r>
      <w:r w:rsidR="00072733">
        <w:rPr>
          <w:rFonts w:asciiTheme="minorHAnsi" w:eastAsia="Arial" w:hAnsiTheme="minorHAnsi" w:cs="Arial"/>
          <w:color w:val="000000" w:themeColor="text1"/>
          <w:sz w:val="22"/>
        </w:rPr>
        <w:t>scrubber</w:t>
      </w:r>
      <w:r w:rsidR="00611858" w:rsidRPr="00611858">
        <w:rPr>
          <w:rFonts w:asciiTheme="minorHAnsi" w:eastAsia="Arial" w:hAnsiTheme="minorHAnsi" w:cs="Arial"/>
          <w:color w:val="000000" w:themeColor="text1"/>
          <w:sz w:val="22"/>
        </w:rPr>
        <w:t xml:space="preserve"> wastewater and </w:t>
      </w:r>
      <w:r w:rsidR="00072733">
        <w:rPr>
          <w:rFonts w:asciiTheme="minorHAnsi" w:eastAsia="Arial" w:hAnsiTheme="minorHAnsi" w:cs="Arial"/>
          <w:color w:val="000000" w:themeColor="text1"/>
          <w:sz w:val="22"/>
        </w:rPr>
        <w:t>bottom ash</w:t>
      </w:r>
      <w:r w:rsidR="00611858" w:rsidRPr="00611858">
        <w:rPr>
          <w:rFonts w:asciiTheme="minorHAnsi" w:eastAsia="Arial" w:hAnsiTheme="minorHAnsi" w:cs="Arial"/>
          <w:color w:val="000000" w:themeColor="text1"/>
          <w:sz w:val="22"/>
        </w:rPr>
        <w:t xml:space="preserve"> transport water and ceasing coal combustion (retire or repower) by December 31, 2034</w:t>
      </w:r>
      <w:r w:rsidR="0083410D">
        <w:rPr>
          <w:rFonts w:asciiTheme="minorHAnsi" w:eastAsia="Arial" w:hAnsiTheme="minorHAnsi" w:cs="Arial"/>
          <w:color w:val="000000" w:themeColor="text1"/>
          <w:sz w:val="22"/>
        </w:rPr>
        <w:t>.</w:t>
      </w:r>
      <w:r w:rsidR="00EE2B64">
        <w:rPr>
          <w:rFonts w:asciiTheme="minorHAnsi" w:eastAsia="Arial" w:hAnsiTheme="minorHAnsi" w:cs="Arial"/>
          <w:color w:val="000000" w:themeColor="text1"/>
          <w:sz w:val="22"/>
        </w:rPr>
        <w:t xml:space="preserve"> </w:t>
      </w:r>
      <w:r w:rsidR="004109FF">
        <w:rPr>
          <w:rFonts w:asciiTheme="minorHAnsi" w:eastAsia="Arial" w:hAnsiTheme="minorHAnsi" w:cs="Arial"/>
          <w:color w:val="000000" w:themeColor="text1"/>
          <w:sz w:val="22"/>
        </w:rPr>
        <w:t>This o</w:t>
      </w:r>
      <w:r w:rsidR="00572DAC">
        <w:rPr>
          <w:rFonts w:asciiTheme="minorHAnsi" w:eastAsia="Arial" w:hAnsiTheme="minorHAnsi" w:cs="Arial"/>
          <w:color w:val="000000" w:themeColor="text1"/>
          <w:sz w:val="22"/>
        </w:rPr>
        <w:t>ption r</w:t>
      </w:r>
      <w:r w:rsidR="00EE2B64">
        <w:rPr>
          <w:rFonts w:asciiTheme="minorHAnsi" w:eastAsia="Arial" w:hAnsiTheme="minorHAnsi" w:cs="Arial"/>
          <w:color w:val="000000" w:themeColor="text1"/>
          <w:sz w:val="22"/>
        </w:rPr>
        <w:t xml:space="preserve">equires </w:t>
      </w:r>
      <w:r w:rsidR="00844A29">
        <w:rPr>
          <w:rFonts w:asciiTheme="minorHAnsi" w:eastAsia="Arial" w:hAnsiTheme="minorHAnsi" w:cs="Arial"/>
          <w:color w:val="000000" w:themeColor="text1"/>
          <w:sz w:val="22"/>
        </w:rPr>
        <w:t>filing a</w:t>
      </w:r>
      <w:r w:rsidR="00EE2B64">
        <w:rPr>
          <w:rFonts w:asciiTheme="minorHAnsi" w:eastAsia="Arial" w:hAnsiTheme="minorHAnsi" w:cs="Arial"/>
          <w:color w:val="000000" w:themeColor="text1"/>
          <w:sz w:val="22"/>
        </w:rPr>
        <w:t xml:space="preserve"> </w:t>
      </w:r>
      <w:r w:rsidR="002145FF">
        <w:rPr>
          <w:rFonts w:asciiTheme="minorHAnsi" w:eastAsia="Arial" w:hAnsiTheme="minorHAnsi" w:cs="Arial"/>
          <w:color w:val="000000" w:themeColor="text1"/>
          <w:sz w:val="22"/>
        </w:rPr>
        <w:t>NOPP</w:t>
      </w:r>
      <w:r w:rsidR="006A73D2">
        <w:rPr>
          <w:rFonts w:asciiTheme="minorHAnsi" w:eastAsia="Arial" w:hAnsiTheme="minorHAnsi" w:cs="Arial"/>
          <w:color w:val="000000" w:themeColor="text1"/>
          <w:sz w:val="22"/>
        </w:rPr>
        <w:t xml:space="preserve"> </w:t>
      </w:r>
      <w:r w:rsidR="00EE2B64">
        <w:rPr>
          <w:rFonts w:asciiTheme="minorHAnsi" w:eastAsia="Arial" w:hAnsiTheme="minorHAnsi" w:cs="Arial"/>
          <w:color w:val="000000" w:themeColor="text1"/>
          <w:sz w:val="22"/>
        </w:rPr>
        <w:t>by December 31, 2025.</w:t>
      </w:r>
    </w:p>
    <w:p w14:paraId="293FC0AB" w14:textId="329AB6B2" w:rsidR="00942724" w:rsidRPr="006200D8" w:rsidRDefault="00FC2C2F" w:rsidP="000F14DE">
      <w:pPr>
        <w:pStyle w:val="ListParagraph"/>
        <w:numPr>
          <w:ilvl w:val="1"/>
          <w:numId w:val="3"/>
        </w:numPr>
        <w:spacing w:after="0" w:line="259" w:lineRule="auto"/>
        <w:rPr>
          <w:rFonts w:asciiTheme="minorHAnsi" w:eastAsia="Arial" w:hAnsiTheme="minorHAnsi" w:cs="Arial"/>
          <w:b/>
          <w:color w:val="000000" w:themeColor="text1"/>
          <w:sz w:val="22"/>
        </w:rPr>
      </w:pPr>
      <w:r w:rsidRPr="00BC0F8F">
        <w:rPr>
          <w:rFonts w:asciiTheme="minorHAnsi" w:eastAsia="Arial" w:hAnsiTheme="minorHAnsi" w:cs="Arial"/>
          <w:i/>
          <w:iCs/>
          <w:color w:val="000000" w:themeColor="text1"/>
          <w:sz w:val="22"/>
        </w:rPr>
        <w:t>Discharges of u</w:t>
      </w:r>
      <w:r w:rsidR="0077712D" w:rsidRPr="00BC0F8F">
        <w:rPr>
          <w:rFonts w:asciiTheme="minorHAnsi" w:eastAsia="Arial" w:hAnsiTheme="minorHAnsi" w:cs="Arial"/>
          <w:i/>
          <w:iCs/>
          <w:color w:val="000000" w:themeColor="text1"/>
          <w:sz w:val="22"/>
        </w:rPr>
        <w:t>nmanaged CRL:</w:t>
      </w:r>
      <w:r w:rsidR="0077712D">
        <w:rPr>
          <w:rFonts w:asciiTheme="minorHAnsi" w:eastAsia="Arial" w:hAnsiTheme="minorHAnsi" w:cs="Arial"/>
          <w:color w:val="000000" w:themeColor="text1"/>
          <w:sz w:val="22"/>
        </w:rPr>
        <w:t xml:space="preserve"> </w:t>
      </w:r>
      <w:r w:rsidR="0025268A">
        <w:rPr>
          <w:rFonts w:asciiTheme="minorHAnsi" w:eastAsia="Arial" w:hAnsiTheme="minorHAnsi" w:cs="Arial"/>
          <w:color w:val="000000" w:themeColor="text1"/>
          <w:sz w:val="22"/>
        </w:rPr>
        <w:t>EPA defined unmanaged CRL as,</w:t>
      </w:r>
      <w:r w:rsidR="0025268A" w:rsidRPr="0025268A">
        <w:rPr>
          <w:rFonts w:asciiTheme="minorHAnsi" w:eastAsia="Arial" w:hAnsiTheme="minorHAnsi" w:cs="Arial"/>
          <w:color w:val="000000" w:themeColor="text1"/>
          <w:sz w:val="22"/>
        </w:rPr>
        <w:t xml:space="preserve"> (1) discharges of CRL that the permitting authority determines are the Functional Equivalent Direct Discharge to a WOTUS through groundwater or (2) discharges of CRL that has leached from a waste management unit into the subsurface and mixed with groundwater before being captured and pumped to the surface for discharge directly to a WOTUS</w:t>
      </w:r>
      <w:r w:rsidR="0025268A">
        <w:rPr>
          <w:rFonts w:asciiTheme="minorHAnsi" w:eastAsia="Arial" w:hAnsiTheme="minorHAnsi" w:cs="Arial"/>
          <w:color w:val="000000" w:themeColor="text1"/>
          <w:sz w:val="22"/>
        </w:rPr>
        <w:t xml:space="preserve">. </w:t>
      </w:r>
      <w:r w:rsidR="005076B1">
        <w:rPr>
          <w:rFonts w:asciiTheme="minorHAnsi" w:eastAsia="Arial" w:hAnsiTheme="minorHAnsi" w:cs="Arial"/>
          <w:color w:val="000000" w:themeColor="text1"/>
          <w:sz w:val="22"/>
        </w:rPr>
        <w:t xml:space="preserve">The </w:t>
      </w:r>
      <w:r w:rsidR="005F2383">
        <w:rPr>
          <w:rFonts w:asciiTheme="minorHAnsi" w:eastAsia="Arial" w:hAnsiTheme="minorHAnsi" w:cs="Arial"/>
          <w:color w:val="000000" w:themeColor="text1"/>
          <w:sz w:val="22"/>
        </w:rPr>
        <w:t>S</w:t>
      </w:r>
      <w:r w:rsidR="005076B1">
        <w:rPr>
          <w:rFonts w:asciiTheme="minorHAnsi" w:eastAsia="Arial" w:hAnsiTheme="minorHAnsi" w:cs="Arial"/>
          <w:color w:val="000000" w:themeColor="text1"/>
          <w:sz w:val="22"/>
        </w:rPr>
        <w:t>up</w:t>
      </w:r>
      <w:r w:rsidR="00766F6F">
        <w:rPr>
          <w:rFonts w:asciiTheme="minorHAnsi" w:eastAsia="Arial" w:hAnsiTheme="minorHAnsi" w:cs="Arial"/>
          <w:color w:val="000000" w:themeColor="text1"/>
          <w:sz w:val="22"/>
        </w:rPr>
        <w:t xml:space="preserve">plemental </w:t>
      </w:r>
      <w:r w:rsidR="002145FF">
        <w:rPr>
          <w:rFonts w:asciiTheme="minorHAnsi" w:eastAsia="Arial" w:hAnsiTheme="minorHAnsi" w:cs="Arial"/>
          <w:color w:val="000000" w:themeColor="text1"/>
          <w:sz w:val="22"/>
        </w:rPr>
        <w:t>ELG R</w:t>
      </w:r>
      <w:r w:rsidR="00766F6F">
        <w:rPr>
          <w:rFonts w:asciiTheme="minorHAnsi" w:eastAsia="Arial" w:hAnsiTheme="minorHAnsi" w:cs="Arial"/>
          <w:color w:val="000000" w:themeColor="text1"/>
          <w:sz w:val="22"/>
        </w:rPr>
        <w:t>ule</w:t>
      </w:r>
      <w:r w:rsidR="0077712D">
        <w:rPr>
          <w:rFonts w:asciiTheme="minorHAnsi" w:eastAsia="Arial" w:hAnsiTheme="minorHAnsi" w:cs="Arial"/>
          <w:color w:val="000000" w:themeColor="text1"/>
          <w:sz w:val="22"/>
        </w:rPr>
        <w:t xml:space="preserve"> </w:t>
      </w:r>
      <w:r w:rsidR="001118AC" w:rsidRPr="0077712D">
        <w:rPr>
          <w:rFonts w:asciiTheme="minorHAnsi" w:eastAsia="Arial" w:hAnsiTheme="minorHAnsi" w:cs="Arial"/>
          <w:color w:val="000000" w:themeColor="text1"/>
          <w:sz w:val="22"/>
        </w:rPr>
        <w:t xml:space="preserve">establishes </w:t>
      </w:r>
      <w:r w:rsidR="00EE2B64">
        <w:rPr>
          <w:rFonts w:asciiTheme="minorHAnsi" w:eastAsia="Arial" w:hAnsiTheme="minorHAnsi" w:cs="Arial"/>
          <w:color w:val="000000" w:themeColor="text1"/>
          <w:sz w:val="22"/>
        </w:rPr>
        <w:t>technology-based</w:t>
      </w:r>
      <w:r w:rsidR="001118AC" w:rsidRPr="0077712D">
        <w:rPr>
          <w:rFonts w:asciiTheme="minorHAnsi" w:eastAsia="Arial" w:hAnsiTheme="minorHAnsi" w:cs="Arial"/>
          <w:color w:val="000000" w:themeColor="text1"/>
          <w:sz w:val="22"/>
        </w:rPr>
        <w:t xml:space="preserve"> limitations for arsenic and mercury based on chemical precipitation by a date determined by the permitting authority that is as soon as possible beginning July 8, 2024, but no later than December 31, 2029. </w:t>
      </w:r>
    </w:p>
    <w:p w14:paraId="54291724" w14:textId="79A69B2E" w:rsidR="00211560" w:rsidRPr="006200D8" w:rsidRDefault="004E6B4A" w:rsidP="000F14DE">
      <w:pPr>
        <w:pStyle w:val="ListParagraph"/>
        <w:numPr>
          <w:ilvl w:val="1"/>
          <w:numId w:val="3"/>
        </w:numPr>
        <w:spacing w:after="0" w:line="259" w:lineRule="auto"/>
        <w:rPr>
          <w:rFonts w:asciiTheme="minorHAnsi" w:eastAsia="Arial" w:hAnsiTheme="minorHAnsi" w:cs="Arial"/>
          <w:b/>
          <w:color w:val="000000" w:themeColor="text1"/>
          <w:sz w:val="22"/>
        </w:rPr>
      </w:pPr>
      <w:r w:rsidRPr="00BC0F8F">
        <w:rPr>
          <w:rFonts w:asciiTheme="minorHAnsi" w:eastAsia="Arial" w:hAnsiTheme="minorHAnsi" w:cs="Arial"/>
          <w:i/>
          <w:iCs/>
          <w:color w:val="000000" w:themeColor="text1"/>
          <w:sz w:val="22"/>
        </w:rPr>
        <w:t xml:space="preserve">Additional </w:t>
      </w:r>
      <w:r w:rsidRPr="006200D8">
        <w:rPr>
          <w:rFonts w:asciiTheme="minorHAnsi" w:eastAsia="Arial" w:hAnsiTheme="minorHAnsi" w:cs="Arial"/>
          <w:i/>
          <w:iCs/>
          <w:color w:val="000000" w:themeColor="text1"/>
          <w:sz w:val="22"/>
        </w:rPr>
        <w:t>waste</w:t>
      </w:r>
      <w:r w:rsidR="00C817E1">
        <w:rPr>
          <w:rFonts w:asciiTheme="minorHAnsi" w:eastAsia="Arial" w:hAnsiTheme="minorHAnsi" w:cs="Arial"/>
          <w:i/>
          <w:iCs/>
          <w:color w:val="000000" w:themeColor="text1"/>
          <w:sz w:val="22"/>
        </w:rPr>
        <w:t xml:space="preserve"> </w:t>
      </w:r>
      <w:r w:rsidRPr="006200D8">
        <w:rPr>
          <w:rFonts w:asciiTheme="minorHAnsi" w:eastAsia="Arial" w:hAnsiTheme="minorHAnsi" w:cs="Arial"/>
          <w:i/>
          <w:iCs/>
          <w:color w:val="000000" w:themeColor="text1"/>
          <w:sz w:val="22"/>
        </w:rPr>
        <w:t>streams</w:t>
      </w:r>
      <w:r w:rsidRPr="00BC0F8F">
        <w:rPr>
          <w:rFonts w:asciiTheme="minorHAnsi" w:eastAsia="Arial" w:hAnsiTheme="minorHAnsi" w:cs="Arial"/>
          <w:i/>
          <w:iCs/>
          <w:color w:val="000000" w:themeColor="text1"/>
          <w:sz w:val="22"/>
        </w:rPr>
        <w:t>:</w:t>
      </w:r>
      <w:r>
        <w:rPr>
          <w:rFonts w:asciiTheme="minorHAnsi" w:eastAsia="Arial" w:hAnsiTheme="minorHAnsi" w:cs="Arial"/>
          <w:color w:val="000000" w:themeColor="text1"/>
          <w:sz w:val="22"/>
        </w:rPr>
        <w:t xml:space="preserve"> </w:t>
      </w:r>
      <w:r w:rsidR="000C7C97" w:rsidRPr="004E6B4A">
        <w:rPr>
          <w:rFonts w:asciiTheme="minorHAnsi" w:eastAsia="Arial" w:hAnsiTheme="minorHAnsi" w:cs="Arial"/>
          <w:color w:val="000000" w:themeColor="text1"/>
          <w:sz w:val="22"/>
        </w:rPr>
        <w:t>For legacy wastewater (ash pond dewatering)</w:t>
      </w:r>
      <w:r w:rsidR="00733F7C" w:rsidRPr="004E6B4A">
        <w:rPr>
          <w:rFonts w:asciiTheme="minorHAnsi" w:eastAsia="Arial" w:hAnsiTheme="minorHAnsi" w:cs="Arial"/>
          <w:color w:val="000000" w:themeColor="text1"/>
          <w:sz w:val="22"/>
        </w:rPr>
        <w:t xml:space="preserve">, and CRL from previously retired </w:t>
      </w:r>
      <w:r w:rsidR="00733F7C" w:rsidRPr="700C5FE5">
        <w:rPr>
          <w:rFonts w:asciiTheme="minorHAnsi" w:eastAsia="Arial" w:hAnsiTheme="minorHAnsi" w:cs="Arial"/>
          <w:color w:val="000000" w:themeColor="text1"/>
          <w:sz w:val="22"/>
        </w:rPr>
        <w:t>faci</w:t>
      </w:r>
      <w:r w:rsidR="2ED52993" w:rsidRPr="700C5FE5">
        <w:rPr>
          <w:rFonts w:asciiTheme="minorHAnsi" w:eastAsia="Arial" w:hAnsiTheme="minorHAnsi" w:cs="Arial"/>
          <w:color w:val="000000" w:themeColor="text1"/>
          <w:sz w:val="22"/>
        </w:rPr>
        <w:t>l</w:t>
      </w:r>
      <w:r w:rsidR="00733F7C" w:rsidRPr="700C5FE5">
        <w:rPr>
          <w:rFonts w:asciiTheme="minorHAnsi" w:eastAsia="Arial" w:hAnsiTheme="minorHAnsi" w:cs="Arial"/>
          <w:color w:val="000000" w:themeColor="text1"/>
          <w:sz w:val="22"/>
        </w:rPr>
        <w:t>it</w:t>
      </w:r>
      <w:r w:rsidR="018EAA9A" w:rsidRPr="700C5FE5">
        <w:rPr>
          <w:rFonts w:asciiTheme="minorHAnsi" w:eastAsia="Arial" w:hAnsiTheme="minorHAnsi" w:cs="Arial"/>
          <w:color w:val="000000" w:themeColor="text1"/>
          <w:sz w:val="22"/>
        </w:rPr>
        <w:t>i</w:t>
      </w:r>
      <w:r w:rsidR="00733F7C" w:rsidRPr="700C5FE5">
        <w:rPr>
          <w:rFonts w:asciiTheme="minorHAnsi" w:eastAsia="Arial" w:hAnsiTheme="minorHAnsi" w:cs="Arial"/>
          <w:color w:val="000000" w:themeColor="text1"/>
          <w:sz w:val="22"/>
        </w:rPr>
        <w:t>es</w:t>
      </w:r>
      <w:r w:rsidR="00733F7C" w:rsidRPr="004E6B4A">
        <w:rPr>
          <w:rFonts w:asciiTheme="minorHAnsi" w:eastAsia="Arial" w:hAnsiTheme="minorHAnsi" w:cs="Arial"/>
          <w:color w:val="000000" w:themeColor="text1"/>
          <w:sz w:val="22"/>
        </w:rPr>
        <w:t>,</w:t>
      </w:r>
      <w:r w:rsidR="00733F7C">
        <w:rPr>
          <w:rFonts w:asciiTheme="minorHAnsi" w:eastAsia="Arial" w:hAnsiTheme="minorHAnsi" w:cs="Arial"/>
          <w:color w:val="000000" w:themeColor="text1"/>
          <w:sz w:val="22"/>
        </w:rPr>
        <w:t xml:space="preserve"> EPA did not establish new technology</w:t>
      </w:r>
      <w:r w:rsidR="669D3B15" w:rsidRPr="1DFA5F83">
        <w:rPr>
          <w:rFonts w:asciiTheme="minorHAnsi" w:eastAsia="Arial" w:hAnsiTheme="minorHAnsi" w:cs="Arial"/>
          <w:color w:val="000000" w:themeColor="text1"/>
          <w:sz w:val="22"/>
        </w:rPr>
        <w:t>-based</w:t>
      </w:r>
      <w:r w:rsidR="00733F7C">
        <w:rPr>
          <w:rFonts w:asciiTheme="minorHAnsi" w:eastAsia="Arial" w:hAnsiTheme="minorHAnsi" w:cs="Arial"/>
          <w:color w:val="000000" w:themeColor="text1"/>
          <w:sz w:val="22"/>
        </w:rPr>
        <w:t xml:space="preserve"> </w:t>
      </w:r>
      <w:r w:rsidR="00C06A53">
        <w:rPr>
          <w:rFonts w:asciiTheme="minorHAnsi" w:eastAsia="Arial" w:hAnsiTheme="minorHAnsi" w:cs="Arial"/>
          <w:color w:val="000000" w:themeColor="text1"/>
          <w:sz w:val="22"/>
        </w:rPr>
        <w:t>limitations</w:t>
      </w:r>
      <w:r w:rsidR="00053AC0">
        <w:rPr>
          <w:rFonts w:asciiTheme="minorHAnsi" w:eastAsia="Arial" w:hAnsiTheme="minorHAnsi" w:cs="Arial"/>
          <w:color w:val="000000" w:themeColor="text1"/>
          <w:sz w:val="22"/>
        </w:rPr>
        <w:t xml:space="preserve">. </w:t>
      </w:r>
      <w:r w:rsidR="00B83622">
        <w:rPr>
          <w:rFonts w:asciiTheme="minorHAnsi" w:eastAsia="Arial" w:hAnsiTheme="minorHAnsi" w:cs="Arial"/>
          <w:color w:val="000000" w:themeColor="text1"/>
          <w:sz w:val="22"/>
        </w:rPr>
        <w:t xml:space="preserve">For these </w:t>
      </w:r>
      <w:r w:rsidR="00B83622" w:rsidRPr="006200D8">
        <w:rPr>
          <w:rFonts w:asciiTheme="minorHAnsi" w:eastAsia="Arial" w:hAnsiTheme="minorHAnsi" w:cs="Arial"/>
          <w:color w:val="000000" w:themeColor="text1"/>
          <w:sz w:val="22"/>
        </w:rPr>
        <w:t>waste</w:t>
      </w:r>
      <w:r w:rsidR="00C817E1">
        <w:rPr>
          <w:rFonts w:asciiTheme="minorHAnsi" w:eastAsia="Arial" w:hAnsiTheme="minorHAnsi" w:cs="Arial"/>
          <w:color w:val="000000" w:themeColor="text1"/>
          <w:sz w:val="22"/>
        </w:rPr>
        <w:t xml:space="preserve"> </w:t>
      </w:r>
      <w:r w:rsidR="00B83622" w:rsidRPr="006200D8">
        <w:rPr>
          <w:rFonts w:asciiTheme="minorHAnsi" w:eastAsia="Arial" w:hAnsiTheme="minorHAnsi" w:cs="Arial"/>
          <w:color w:val="000000" w:themeColor="text1"/>
          <w:sz w:val="22"/>
        </w:rPr>
        <w:t>streams</w:t>
      </w:r>
      <w:r w:rsidR="00B83622">
        <w:rPr>
          <w:rFonts w:asciiTheme="minorHAnsi" w:eastAsia="Arial" w:hAnsiTheme="minorHAnsi" w:cs="Arial"/>
          <w:color w:val="000000" w:themeColor="text1"/>
          <w:sz w:val="22"/>
        </w:rPr>
        <w:t xml:space="preserve">, </w:t>
      </w:r>
      <w:r w:rsidR="004E5D92">
        <w:rPr>
          <w:rFonts w:asciiTheme="minorHAnsi" w:eastAsia="Arial" w:hAnsiTheme="minorHAnsi" w:cs="Arial"/>
          <w:color w:val="000000" w:themeColor="text1"/>
          <w:sz w:val="22"/>
        </w:rPr>
        <w:t>Georgia</w:t>
      </w:r>
      <w:r w:rsidR="004E5D92" w:rsidRPr="00B83622">
        <w:rPr>
          <w:rFonts w:asciiTheme="minorHAnsi" w:eastAsia="Arial" w:hAnsiTheme="minorHAnsi" w:cs="Arial"/>
          <w:color w:val="000000" w:themeColor="text1"/>
          <w:sz w:val="22"/>
        </w:rPr>
        <w:t xml:space="preserve"> </w:t>
      </w:r>
      <w:r w:rsidR="002E33F2">
        <w:rPr>
          <w:rFonts w:asciiTheme="minorHAnsi" w:eastAsia="Arial" w:hAnsiTheme="minorHAnsi" w:cs="Arial"/>
          <w:color w:val="000000" w:themeColor="text1"/>
          <w:sz w:val="22"/>
        </w:rPr>
        <w:t>EPD,</w:t>
      </w:r>
      <w:r w:rsidR="00B83622">
        <w:rPr>
          <w:rFonts w:asciiTheme="minorHAnsi" w:eastAsia="Arial" w:hAnsiTheme="minorHAnsi" w:cs="Arial"/>
          <w:color w:val="000000" w:themeColor="text1"/>
          <w:sz w:val="22"/>
        </w:rPr>
        <w:t xml:space="preserve"> </w:t>
      </w:r>
      <w:r w:rsidR="00587C60">
        <w:rPr>
          <w:rFonts w:asciiTheme="minorHAnsi" w:eastAsia="Arial" w:hAnsiTheme="minorHAnsi" w:cs="Arial"/>
          <w:color w:val="000000" w:themeColor="text1"/>
          <w:sz w:val="22"/>
        </w:rPr>
        <w:t>must</w:t>
      </w:r>
      <w:r w:rsidR="00B83622" w:rsidRPr="00B83622">
        <w:rPr>
          <w:rFonts w:asciiTheme="minorHAnsi" w:eastAsia="Arial" w:hAnsiTheme="minorHAnsi" w:cs="Arial"/>
          <w:color w:val="000000" w:themeColor="text1"/>
          <w:sz w:val="22"/>
        </w:rPr>
        <w:t xml:space="preserve"> establish site-specific technology-based limits using its B</w:t>
      </w:r>
      <w:r w:rsidR="00B83622">
        <w:rPr>
          <w:rFonts w:asciiTheme="minorHAnsi" w:eastAsia="Arial" w:hAnsiTheme="minorHAnsi" w:cs="Arial"/>
          <w:color w:val="000000" w:themeColor="text1"/>
          <w:sz w:val="22"/>
        </w:rPr>
        <w:t xml:space="preserve">est Professional </w:t>
      </w:r>
      <w:r w:rsidR="00B83622" w:rsidRPr="00B83622">
        <w:rPr>
          <w:rFonts w:asciiTheme="minorHAnsi" w:eastAsia="Arial" w:hAnsiTheme="minorHAnsi" w:cs="Arial"/>
          <w:color w:val="000000" w:themeColor="text1"/>
          <w:sz w:val="22"/>
        </w:rPr>
        <w:t>J</w:t>
      </w:r>
      <w:r w:rsidR="00B83622">
        <w:rPr>
          <w:rFonts w:asciiTheme="minorHAnsi" w:eastAsia="Arial" w:hAnsiTheme="minorHAnsi" w:cs="Arial"/>
          <w:color w:val="000000" w:themeColor="text1"/>
          <w:sz w:val="22"/>
        </w:rPr>
        <w:t>udgment (</w:t>
      </w:r>
      <w:r w:rsidR="002E33F2">
        <w:rPr>
          <w:rFonts w:asciiTheme="minorHAnsi" w:eastAsia="Arial" w:hAnsiTheme="minorHAnsi" w:cs="Arial"/>
          <w:color w:val="000000" w:themeColor="text1"/>
          <w:sz w:val="22"/>
        </w:rPr>
        <w:t>“</w:t>
      </w:r>
      <w:r w:rsidR="00B83622">
        <w:rPr>
          <w:rFonts w:asciiTheme="minorHAnsi" w:eastAsia="Arial" w:hAnsiTheme="minorHAnsi" w:cs="Arial"/>
          <w:color w:val="000000" w:themeColor="text1"/>
          <w:sz w:val="22"/>
        </w:rPr>
        <w:t>BPJ</w:t>
      </w:r>
      <w:r w:rsidR="002E33F2">
        <w:rPr>
          <w:rFonts w:asciiTheme="minorHAnsi" w:eastAsia="Arial" w:hAnsiTheme="minorHAnsi" w:cs="Arial"/>
          <w:color w:val="000000" w:themeColor="text1"/>
          <w:sz w:val="22"/>
        </w:rPr>
        <w:t>”</w:t>
      </w:r>
      <w:r w:rsidR="00B83622">
        <w:rPr>
          <w:rFonts w:asciiTheme="minorHAnsi" w:eastAsia="Arial" w:hAnsiTheme="minorHAnsi" w:cs="Arial"/>
          <w:color w:val="000000" w:themeColor="text1"/>
          <w:sz w:val="22"/>
        </w:rPr>
        <w:t>)</w:t>
      </w:r>
      <w:r w:rsidR="00B83622" w:rsidRPr="00B83622">
        <w:rPr>
          <w:rFonts w:asciiTheme="minorHAnsi" w:eastAsia="Arial" w:hAnsiTheme="minorHAnsi" w:cs="Arial"/>
          <w:color w:val="000000" w:themeColor="text1"/>
          <w:sz w:val="22"/>
        </w:rPr>
        <w:t>.</w:t>
      </w:r>
    </w:p>
    <w:p w14:paraId="596E8711" w14:textId="44FC1BC9" w:rsidR="005F2383" w:rsidRPr="006200D8" w:rsidRDefault="005F2383" w:rsidP="000F14DE">
      <w:pPr>
        <w:pStyle w:val="ListParagraph"/>
        <w:numPr>
          <w:ilvl w:val="1"/>
          <w:numId w:val="3"/>
        </w:numPr>
        <w:spacing w:after="0" w:line="259" w:lineRule="auto"/>
        <w:rPr>
          <w:rFonts w:asciiTheme="minorHAnsi" w:eastAsia="Arial" w:hAnsiTheme="minorHAnsi" w:cs="Arial"/>
          <w:b/>
          <w:color w:val="000000" w:themeColor="text1"/>
          <w:sz w:val="22"/>
        </w:rPr>
      </w:pPr>
      <w:r w:rsidRPr="004D753C">
        <w:rPr>
          <w:rFonts w:asciiTheme="minorHAnsi" w:eastAsia="Arial" w:hAnsiTheme="minorHAnsi" w:cs="Arial"/>
          <w:i/>
          <w:iCs/>
          <w:color w:val="000000" w:themeColor="text1"/>
          <w:sz w:val="22"/>
        </w:rPr>
        <w:t xml:space="preserve">NOPP Transfers: </w:t>
      </w:r>
      <w:r w:rsidRPr="004D753C">
        <w:rPr>
          <w:rFonts w:asciiTheme="minorHAnsi" w:eastAsia="Arial" w:hAnsiTheme="minorHAnsi" w:cs="Arial"/>
          <w:color w:val="000000" w:themeColor="text1"/>
          <w:sz w:val="22"/>
        </w:rPr>
        <w:t>The final rule retained the 2020</w:t>
      </w:r>
      <w:r w:rsidR="00E973CA">
        <w:rPr>
          <w:rFonts w:asciiTheme="minorHAnsi" w:eastAsia="Arial" w:hAnsiTheme="minorHAnsi" w:cs="Arial"/>
          <w:color w:val="000000" w:themeColor="text1"/>
          <w:sz w:val="22"/>
        </w:rPr>
        <w:t xml:space="preserve"> ELG Reconsideration</w:t>
      </w:r>
      <w:r w:rsidRPr="004D753C">
        <w:rPr>
          <w:rFonts w:asciiTheme="minorHAnsi" w:eastAsia="Arial" w:hAnsiTheme="minorHAnsi" w:cs="Arial"/>
          <w:color w:val="000000" w:themeColor="text1"/>
          <w:sz w:val="22"/>
        </w:rPr>
        <w:t xml:space="preserve"> </w:t>
      </w:r>
      <w:r w:rsidR="009752E4">
        <w:rPr>
          <w:rFonts w:asciiTheme="minorHAnsi" w:eastAsia="Arial" w:hAnsiTheme="minorHAnsi" w:cs="Arial"/>
          <w:color w:val="000000" w:themeColor="text1"/>
          <w:sz w:val="22"/>
        </w:rPr>
        <w:t>R</w:t>
      </w:r>
      <w:r w:rsidRPr="004D753C">
        <w:rPr>
          <w:rFonts w:asciiTheme="minorHAnsi" w:eastAsia="Arial" w:hAnsiTheme="minorHAnsi" w:cs="Arial"/>
          <w:color w:val="000000" w:themeColor="text1"/>
          <w:sz w:val="22"/>
        </w:rPr>
        <w:t xml:space="preserve">ule </w:t>
      </w:r>
      <w:r w:rsidR="00723A1C">
        <w:rPr>
          <w:rFonts w:asciiTheme="minorHAnsi" w:eastAsia="Arial" w:hAnsiTheme="minorHAnsi" w:cs="Arial"/>
          <w:color w:val="000000" w:themeColor="text1"/>
          <w:sz w:val="22"/>
        </w:rPr>
        <w:t xml:space="preserve">transfer </w:t>
      </w:r>
      <w:r w:rsidR="00121690">
        <w:rPr>
          <w:rFonts w:asciiTheme="minorHAnsi" w:eastAsia="Arial" w:hAnsiTheme="minorHAnsi" w:cs="Arial"/>
          <w:color w:val="000000" w:themeColor="text1"/>
          <w:sz w:val="22"/>
        </w:rPr>
        <w:t>provisions</w:t>
      </w:r>
      <w:r w:rsidR="009E3FAF">
        <w:rPr>
          <w:rFonts w:asciiTheme="minorHAnsi" w:eastAsia="Arial" w:hAnsiTheme="minorHAnsi" w:cs="Arial"/>
          <w:color w:val="000000" w:themeColor="text1"/>
          <w:sz w:val="22"/>
        </w:rPr>
        <w:t xml:space="preserve">, </w:t>
      </w:r>
      <w:r w:rsidR="00121690">
        <w:rPr>
          <w:rFonts w:asciiTheme="minorHAnsi" w:eastAsia="Arial" w:hAnsiTheme="minorHAnsi" w:cs="Arial"/>
          <w:color w:val="000000" w:themeColor="text1"/>
          <w:sz w:val="22"/>
        </w:rPr>
        <w:t>which</w:t>
      </w:r>
      <w:r w:rsidRPr="004D753C">
        <w:rPr>
          <w:rFonts w:asciiTheme="minorHAnsi" w:eastAsia="Arial" w:hAnsiTheme="minorHAnsi" w:cs="Arial"/>
          <w:color w:val="000000" w:themeColor="text1"/>
          <w:sz w:val="22"/>
        </w:rPr>
        <w:t xml:space="preserve"> </w:t>
      </w:r>
      <w:r w:rsidR="00121690">
        <w:rPr>
          <w:rFonts w:asciiTheme="minorHAnsi" w:eastAsia="Arial" w:hAnsiTheme="minorHAnsi" w:cs="Arial"/>
          <w:color w:val="000000" w:themeColor="text1"/>
          <w:sz w:val="22"/>
        </w:rPr>
        <w:t>provide the</w:t>
      </w:r>
      <w:r w:rsidR="00857A3E">
        <w:rPr>
          <w:rFonts w:asciiTheme="minorHAnsi" w:eastAsia="Arial" w:hAnsiTheme="minorHAnsi" w:cs="Arial"/>
          <w:color w:val="000000" w:themeColor="text1"/>
          <w:sz w:val="22"/>
        </w:rPr>
        <w:t xml:space="preserve"> flexibility to transfer between subcategories</w:t>
      </w:r>
      <w:r w:rsidR="00121690">
        <w:rPr>
          <w:rFonts w:asciiTheme="minorHAnsi" w:eastAsia="Arial" w:hAnsiTheme="minorHAnsi" w:cs="Arial"/>
          <w:color w:val="000000" w:themeColor="text1"/>
          <w:sz w:val="22"/>
        </w:rPr>
        <w:t xml:space="preserve"> or to the 2020 VIP provisions until December 31, 2025.</w:t>
      </w:r>
    </w:p>
    <w:p w14:paraId="20504D19" w14:textId="313F1D3E" w:rsidR="00013FF7" w:rsidRPr="006200D8" w:rsidRDefault="004E6B4A" w:rsidP="000F14DE">
      <w:pPr>
        <w:pStyle w:val="ListParagraph"/>
        <w:numPr>
          <w:ilvl w:val="1"/>
          <w:numId w:val="3"/>
        </w:numPr>
        <w:spacing w:after="0" w:line="259" w:lineRule="auto"/>
        <w:rPr>
          <w:rFonts w:asciiTheme="minorHAnsi" w:eastAsia="Arial" w:hAnsiTheme="minorHAnsi" w:cs="Arial"/>
          <w:b/>
          <w:color w:val="000000" w:themeColor="text1"/>
          <w:sz w:val="22"/>
        </w:rPr>
      </w:pPr>
      <w:r w:rsidRPr="00BC0F8F">
        <w:rPr>
          <w:rFonts w:asciiTheme="minorHAnsi" w:eastAsia="Arial" w:hAnsiTheme="minorHAnsi" w:cs="Arial"/>
          <w:i/>
          <w:iCs/>
          <w:color w:val="000000" w:themeColor="text1"/>
          <w:sz w:val="22"/>
        </w:rPr>
        <w:t>Website requirements:</w:t>
      </w:r>
      <w:r>
        <w:rPr>
          <w:rFonts w:asciiTheme="minorHAnsi" w:eastAsia="Arial" w:hAnsiTheme="minorHAnsi" w:cs="Arial"/>
          <w:color w:val="000000" w:themeColor="text1"/>
          <w:sz w:val="22"/>
        </w:rPr>
        <w:t xml:space="preserve"> </w:t>
      </w:r>
      <w:proofErr w:type="gramStart"/>
      <w:r w:rsidR="00013FF7">
        <w:rPr>
          <w:rFonts w:asciiTheme="minorHAnsi" w:eastAsia="Arial" w:hAnsiTheme="minorHAnsi" w:cs="Arial"/>
          <w:color w:val="000000" w:themeColor="text1"/>
          <w:sz w:val="22"/>
        </w:rPr>
        <w:t>S</w:t>
      </w:r>
      <w:r w:rsidR="00013FF7" w:rsidRPr="0077712D">
        <w:rPr>
          <w:rFonts w:asciiTheme="minorHAnsi" w:eastAsia="Arial" w:hAnsiTheme="minorHAnsi" w:cs="Arial"/>
          <w:color w:val="000000" w:themeColor="text1"/>
          <w:sz w:val="22"/>
        </w:rPr>
        <w:t>imilar to</w:t>
      </w:r>
      <w:proofErr w:type="gramEnd"/>
      <w:r w:rsidR="00013FF7" w:rsidRPr="0077712D">
        <w:rPr>
          <w:rFonts w:asciiTheme="minorHAnsi" w:eastAsia="Arial" w:hAnsiTheme="minorHAnsi" w:cs="Arial"/>
          <w:color w:val="000000" w:themeColor="text1"/>
          <w:sz w:val="22"/>
        </w:rPr>
        <w:t xml:space="preserve"> the CCR website</w:t>
      </w:r>
      <w:r w:rsidR="00013FF7">
        <w:rPr>
          <w:rFonts w:asciiTheme="minorHAnsi" w:eastAsia="Arial" w:hAnsiTheme="minorHAnsi" w:cs="Arial"/>
          <w:color w:val="000000" w:themeColor="text1"/>
          <w:sz w:val="22"/>
        </w:rPr>
        <w:t xml:space="preserve"> requirements</w:t>
      </w:r>
      <w:r w:rsidR="00013FF7" w:rsidRPr="0077712D">
        <w:rPr>
          <w:rFonts w:asciiTheme="minorHAnsi" w:eastAsia="Arial" w:hAnsiTheme="minorHAnsi" w:cs="Arial"/>
          <w:color w:val="000000" w:themeColor="text1"/>
          <w:sz w:val="22"/>
        </w:rPr>
        <w:t xml:space="preserve">, the final rule </w:t>
      </w:r>
      <w:r w:rsidR="00013FF7">
        <w:rPr>
          <w:rFonts w:asciiTheme="minorHAnsi" w:eastAsia="Arial" w:hAnsiTheme="minorHAnsi" w:cs="Arial"/>
          <w:color w:val="000000" w:themeColor="text1"/>
          <w:sz w:val="22"/>
        </w:rPr>
        <w:t xml:space="preserve">also </w:t>
      </w:r>
      <w:r w:rsidR="00013FF7" w:rsidRPr="0077712D">
        <w:rPr>
          <w:rFonts w:asciiTheme="minorHAnsi" w:eastAsia="Arial" w:hAnsiTheme="minorHAnsi" w:cs="Arial"/>
          <w:color w:val="000000" w:themeColor="text1"/>
          <w:sz w:val="22"/>
        </w:rPr>
        <w:t xml:space="preserve">requires facilities to maintain an “ELG Rule Compliance Data and Information” </w:t>
      </w:r>
      <w:r w:rsidR="00013FF7" w:rsidRPr="0077712D">
        <w:rPr>
          <w:rFonts w:asciiTheme="minorHAnsi" w:eastAsia="Arial" w:hAnsiTheme="minorHAnsi" w:cs="Arial"/>
          <w:color w:val="000000" w:themeColor="text1"/>
          <w:sz w:val="22"/>
        </w:rPr>
        <w:lastRenderedPageBreak/>
        <w:t>website that makes available to the public all reporting and recordkeeping information.</w:t>
      </w:r>
      <w:r w:rsidR="001D7D76" w:rsidRPr="001D7D76">
        <w:rPr>
          <w:rStyle w:val="FootnoteReference"/>
          <w:rFonts w:asciiTheme="minorHAnsi" w:eastAsia="Arial" w:hAnsiTheme="minorHAnsi" w:cs="Arial"/>
          <w:color w:val="000000" w:themeColor="text1"/>
          <w:sz w:val="22"/>
        </w:rPr>
        <w:t xml:space="preserve"> </w:t>
      </w:r>
      <w:r w:rsidR="001D7D76">
        <w:rPr>
          <w:rStyle w:val="FootnoteReference"/>
          <w:rFonts w:asciiTheme="minorHAnsi" w:eastAsia="Arial" w:hAnsiTheme="minorHAnsi" w:cs="Arial"/>
          <w:color w:val="000000" w:themeColor="text1"/>
          <w:sz w:val="22"/>
        </w:rPr>
        <w:footnoteReference w:id="5"/>
      </w:r>
    </w:p>
    <w:p w14:paraId="6065B35C" w14:textId="70427788" w:rsidR="00551A5A" w:rsidRPr="00A10E56" w:rsidRDefault="00551A5A" w:rsidP="009708E3">
      <w:pPr>
        <w:pStyle w:val="ListParagraph"/>
        <w:spacing w:after="0"/>
        <w:rPr>
          <w:rFonts w:eastAsia="Arial" w:cs="Arial"/>
          <w:b/>
          <w:bCs/>
          <w:color w:val="000000" w:themeColor="text1"/>
        </w:rPr>
      </w:pPr>
    </w:p>
    <w:p w14:paraId="3D904BF3" w14:textId="1A86981E" w:rsidR="00C01A5D" w:rsidRPr="009B12E0" w:rsidRDefault="00514A18" w:rsidP="009759F8">
      <w:pPr>
        <w:pStyle w:val="ListParagraph"/>
        <w:numPr>
          <w:ilvl w:val="0"/>
          <w:numId w:val="3"/>
        </w:numPr>
        <w:spacing w:after="0" w:line="259" w:lineRule="auto"/>
        <w:rPr>
          <w:rFonts w:asciiTheme="minorHAnsi" w:eastAsia="Arial" w:hAnsiTheme="minorHAnsi" w:cs="Arial"/>
          <w:color w:val="000000" w:themeColor="text1"/>
          <w:sz w:val="22"/>
        </w:rPr>
      </w:pPr>
      <w:r w:rsidRPr="72049F6B">
        <w:rPr>
          <w:rFonts w:asciiTheme="minorHAnsi" w:eastAsia="Arial" w:hAnsiTheme="minorHAnsi" w:cs="Arial"/>
          <w:color w:val="000000" w:themeColor="text1"/>
          <w:sz w:val="22"/>
        </w:rPr>
        <w:t>Numerous groups</w:t>
      </w:r>
      <w:r w:rsidR="74CFFC20" w:rsidRPr="72049F6B">
        <w:rPr>
          <w:rFonts w:asciiTheme="minorHAnsi" w:eastAsia="Arial" w:hAnsiTheme="minorHAnsi" w:cs="Arial"/>
          <w:color w:val="000000" w:themeColor="text1"/>
          <w:sz w:val="22"/>
        </w:rPr>
        <w:t xml:space="preserve"> (including </w:t>
      </w:r>
      <w:r w:rsidR="00B67DF5">
        <w:rPr>
          <w:rFonts w:asciiTheme="minorHAnsi" w:eastAsia="Arial" w:hAnsiTheme="minorHAnsi" w:cs="Arial"/>
          <w:color w:val="000000" w:themeColor="text1"/>
          <w:sz w:val="22"/>
        </w:rPr>
        <w:t>the Utility Water Action Group, “</w:t>
      </w:r>
      <w:r w:rsidR="74CFFC20" w:rsidRPr="72049F6B">
        <w:rPr>
          <w:rFonts w:asciiTheme="minorHAnsi" w:eastAsia="Arial" w:hAnsiTheme="minorHAnsi" w:cs="Arial"/>
          <w:color w:val="000000" w:themeColor="text1"/>
          <w:sz w:val="22"/>
        </w:rPr>
        <w:t>UWAG</w:t>
      </w:r>
      <w:r w:rsidR="00B67DF5">
        <w:rPr>
          <w:rFonts w:asciiTheme="minorHAnsi" w:eastAsia="Arial" w:hAnsiTheme="minorHAnsi" w:cs="Arial"/>
          <w:color w:val="000000" w:themeColor="text1"/>
          <w:sz w:val="22"/>
        </w:rPr>
        <w:t>”</w:t>
      </w:r>
      <w:r w:rsidR="74CFFC20" w:rsidRPr="72049F6B">
        <w:rPr>
          <w:rFonts w:asciiTheme="minorHAnsi" w:eastAsia="Arial" w:hAnsiTheme="minorHAnsi" w:cs="Arial"/>
          <w:color w:val="000000" w:themeColor="text1"/>
          <w:sz w:val="22"/>
        </w:rPr>
        <w:t>), electric generators,</w:t>
      </w:r>
      <w:r w:rsidRPr="72049F6B">
        <w:rPr>
          <w:rFonts w:asciiTheme="minorHAnsi" w:eastAsia="Arial" w:hAnsiTheme="minorHAnsi" w:cs="Arial"/>
          <w:color w:val="000000" w:themeColor="text1"/>
          <w:sz w:val="22"/>
        </w:rPr>
        <w:t xml:space="preserve"> and states filed petitions challenging the rule in multiple federal circuit courts, and, on June 14, 2024, the challenges were consolidated in the U.S. Court of Appeals for the Eighth Circuit. On July 26, 2024, </w:t>
      </w:r>
      <w:r w:rsidR="002A0F6A" w:rsidRPr="72049F6B">
        <w:rPr>
          <w:rFonts w:asciiTheme="minorHAnsi" w:eastAsia="Arial" w:hAnsiTheme="minorHAnsi" w:cs="Arial"/>
          <w:color w:val="000000" w:themeColor="text1"/>
          <w:sz w:val="22"/>
        </w:rPr>
        <w:t>UWAG</w:t>
      </w:r>
      <w:r w:rsidR="47339E4E" w:rsidRPr="72049F6B">
        <w:rPr>
          <w:rFonts w:asciiTheme="minorHAnsi" w:eastAsia="Arial" w:hAnsiTheme="minorHAnsi" w:cs="Arial"/>
          <w:color w:val="000000" w:themeColor="text1"/>
          <w:sz w:val="22"/>
        </w:rPr>
        <w:t>, electric generators,</w:t>
      </w:r>
      <w:r w:rsidRPr="72049F6B">
        <w:rPr>
          <w:rFonts w:asciiTheme="minorHAnsi" w:eastAsia="Arial" w:hAnsiTheme="minorHAnsi" w:cs="Arial"/>
          <w:color w:val="000000" w:themeColor="text1"/>
          <w:sz w:val="22"/>
        </w:rPr>
        <w:t xml:space="preserve"> and state petitioners filed a motion to stay the rule pending judicial review, which was denied on October 10, 2024</w:t>
      </w:r>
      <w:r w:rsidR="00941574" w:rsidRPr="72049F6B">
        <w:rPr>
          <w:rFonts w:asciiTheme="minorHAnsi" w:eastAsia="Arial" w:hAnsiTheme="minorHAnsi" w:cs="Arial"/>
          <w:color w:val="000000" w:themeColor="text1"/>
          <w:sz w:val="22"/>
        </w:rPr>
        <w:t>.</w:t>
      </w:r>
      <w:r w:rsidR="00791514" w:rsidRPr="72049F6B">
        <w:rPr>
          <w:rFonts w:asciiTheme="minorHAnsi" w:eastAsia="Arial" w:hAnsiTheme="minorHAnsi" w:cs="Arial"/>
          <w:color w:val="000000" w:themeColor="text1"/>
          <w:sz w:val="22"/>
        </w:rPr>
        <w:t xml:space="preserve"> </w:t>
      </w:r>
      <w:r w:rsidR="00791514" w:rsidRPr="610B6EC7">
        <w:rPr>
          <w:rFonts w:asciiTheme="minorHAnsi" w:eastAsiaTheme="minorEastAsia" w:hAnsiTheme="minorHAnsi"/>
          <w:sz w:val="22"/>
        </w:rPr>
        <w:t xml:space="preserve">Full merits briefing will be completed </w:t>
      </w:r>
      <w:r w:rsidR="6B6B49C7" w:rsidRPr="610B6EC7">
        <w:rPr>
          <w:rFonts w:asciiTheme="minorHAnsi" w:eastAsiaTheme="minorEastAsia" w:hAnsiTheme="minorHAnsi"/>
          <w:sz w:val="22"/>
        </w:rPr>
        <w:t>on</w:t>
      </w:r>
      <w:r w:rsidR="6B6B49C7" w:rsidRPr="3B447EE1">
        <w:rPr>
          <w:rFonts w:asciiTheme="minorHAnsi" w:eastAsiaTheme="minorEastAsia" w:hAnsiTheme="minorHAnsi"/>
          <w:sz w:val="22"/>
        </w:rPr>
        <w:t xml:space="preserve"> </w:t>
      </w:r>
      <w:r w:rsidR="5196223D" w:rsidRPr="51E814EE">
        <w:rPr>
          <w:rFonts w:asciiTheme="minorHAnsi" w:eastAsiaTheme="minorEastAsia" w:hAnsiTheme="minorHAnsi"/>
          <w:sz w:val="22"/>
        </w:rPr>
        <w:t>February 21,</w:t>
      </w:r>
      <w:r w:rsidR="00791514" w:rsidRPr="51E814EE">
        <w:rPr>
          <w:rFonts w:asciiTheme="minorHAnsi" w:eastAsiaTheme="minorEastAsia" w:hAnsiTheme="minorHAnsi"/>
          <w:sz w:val="22"/>
        </w:rPr>
        <w:t xml:space="preserve"> 2025</w:t>
      </w:r>
      <w:r w:rsidR="6B6B49C7" w:rsidRPr="610B6EC7">
        <w:rPr>
          <w:rFonts w:asciiTheme="minorHAnsi" w:eastAsiaTheme="minorEastAsia" w:hAnsiTheme="minorHAnsi"/>
          <w:sz w:val="22"/>
        </w:rPr>
        <w:t xml:space="preserve">, with oral argument to </w:t>
      </w:r>
      <w:r w:rsidR="6B6B49C7" w:rsidRPr="3B447EE1">
        <w:rPr>
          <w:rFonts w:asciiTheme="minorHAnsi" w:eastAsiaTheme="minorEastAsia" w:hAnsiTheme="minorHAnsi"/>
          <w:sz w:val="22"/>
        </w:rPr>
        <w:t xml:space="preserve">follow. </w:t>
      </w:r>
      <w:r w:rsidR="21460CA7" w:rsidRPr="72049F6B">
        <w:rPr>
          <w:rFonts w:asciiTheme="minorHAnsi" w:eastAsia="Arial" w:hAnsiTheme="minorHAnsi" w:cs="Arial"/>
          <w:color w:val="000000" w:themeColor="text1"/>
          <w:sz w:val="22"/>
        </w:rPr>
        <w:t xml:space="preserve"> </w:t>
      </w:r>
    </w:p>
    <w:p w14:paraId="492D0F45" w14:textId="77777777" w:rsidR="00437047" w:rsidRPr="009B12E0" w:rsidRDefault="00437047" w:rsidP="00437047">
      <w:pPr>
        <w:pStyle w:val="ListParagraph"/>
        <w:spacing w:after="0"/>
        <w:rPr>
          <w:rFonts w:asciiTheme="minorHAnsi" w:eastAsia="Arial" w:hAnsiTheme="minorHAnsi" w:cs="Arial"/>
          <w:color w:val="000000" w:themeColor="text1"/>
          <w:sz w:val="22"/>
        </w:rPr>
      </w:pPr>
    </w:p>
    <w:p w14:paraId="50208FC8" w14:textId="77D926C8" w:rsidR="007819DB" w:rsidRPr="001D6573" w:rsidRDefault="0012694F" w:rsidP="000F14DE">
      <w:pPr>
        <w:pStyle w:val="Heading4"/>
      </w:pPr>
      <w:r w:rsidRPr="001D6573">
        <w:t>2.1.3.1</w:t>
      </w:r>
      <w:r w:rsidRPr="001D6573">
        <w:tab/>
      </w:r>
      <w:r w:rsidR="007819DB" w:rsidRPr="001D6573">
        <w:t xml:space="preserve">ELG Compliance Strategy </w:t>
      </w:r>
    </w:p>
    <w:p w14:paraId="65BB6E9B" w14:textId="01263678" w:rsidR="00AC6B6F" w:rsidRDefault="00AC6B6F" w:rsidP="000F14DE">
      <w:r w:rsidRPr="00AC6B6F">
        <w:t xml:space="preserve">The Company’s strategy for compliance </w:t>
      </w:r>
      <w:r w:rsidR="1553658A">
        <w:t>with</w:t>
      </w:r>
      <w:r w:rsidRPr="00AC6B6F">
        <w:t xml:space="preserve"> </w:t>
      </w:r>
      <w:r w:rsidR="00DF7EB9">
        <w:t>ELG</w:t>
      </w:r>
      <w:r w:rsidR="00762847">
        <w:t xml:space="preserve"> requirements</w:t>
      </w:r>
      <w:r w:rsidR="00DF7EB9">
        <w:t xml:space="preserve"> for fly ash and bottom ash </w:t>
      </w:r>
      <w:r w:rsidR="002C6989">
        <w:t>waste</w:t>
      </w:r>
      <w:r w:rsidR="00C817E1">
        <w:t xml:space="preserve"> </w:t>
      </w:r>
      <w:r w:rsidR="002C6989">
        <w:t xml:space="preserve">streams </w:t>
      </w:r>
      <w:r w:rsidR="00DF7EB9">
        <w:t xml:space="preserve">necessarily considered the state and </w:t>
      </w:r>
      <w:r w:rsidR="00720054">
        <w:t>f</w:t>
      </w:r>
      <w:r w:rsidR="00DF7EB9">
        <w:t>ederal CCR rules</w:t>
      </w:r>
      <w:r w:rsidR="00AA4EEC">
        <w:t>,</w:t>
      </w:r>
      <w:r w:rsidR="00D14569">
        <w:t xml:space="preserve"> as well as ELG requirements</w:t>
      </w:r>
      <w:r w:rsidR="002C6989">
        <w:t xml:space="preserve">. To meet </w:t>
      </w:r>
      <w:r w:rsidR="00DF7EB9">
        <w:t xml:space="preserve">the timing </w:t>
      </w:r>
      <w:r w:rsidR="00DF615B">
        <w:t xml:space="preserve">requirements </w:t>
      </w:r>
      <w:r w:rsidR="002C6989">
        <w:t xml:space="preserve">for </w:t>
      </w:r>
      <w:r w:rsidR="00132EDB">
        <w:t xml:space="preserve">the </w:t>
      </w:r>
      <w:r w:rsidR="002C6989">
        <w:t>CCR rules, fly ash and bottom ash handling projects were completed by 2019</w:t>
      </w:r>
      <w:r w:rsidR="007C14B7">
        <w:t xml:space="preserve"> </w:t>
      </w:r>
      <w:r w:rsidR="005B60B2">
        <w:t>to cease ongoing use of the ash ponds</w:t>
      </w:r>
      <w:r w:rsidR="002C6989">
        <w:t>.</w:t>
      </w:r>
      <w:r w:rsidR="002C28AC">
        <w:t xml:space="preserve"> For </w:t>
      </w:r>
      <w:r w:rsidRPr="00AC6B6F">
        <w:t>fly ash</w:t>
      </w:r>
      <w:r w:rsidR="002C28AC">
        <w:t>, projects</w:t>
      </w:r>
      <w:r w:rsidRPr="00AC6B6F">
        <w:t xml:space="preserve"> include</w:t>
      </w:r>
      <w:r w:rsidR="002C28AC">
        <w:t>d</w:t>
      </w:r>
      <w:r w:rsidRPr="00AC6B6F">
        <w:t xml:space="preserve"> conversions to pneumatic (dry handling) systems that convey ash via vacuum/blowers to collection hoppers and silos for </w:t>
      </w:r>
      <w:r w:rsidR="00B94E91">
        <w:t xml:space="preserve">beneficial </w:t>
      </w:r>
      <w:r w:rsidRPr="00AC6B6F">
        <w:t xml:space="preserve">use or </w:t>
      </w:r>
      <w:r w:rsidR="000C73E7">
        <w:t xml:space="preserve">landfill </w:t>
      </w:r>
      <w:r w:rsidRPr="00AC6B6F">
        <w:t>disposal at Plants Bowen</w:t>
      </w:r>
      <w:r w:rsidR="00796550">
        <w:t xml:space="preserve"> and</w:t>
      </w:r>
      <w:r w:rsidRPr="00AC6B6F">
        <w:t xml:space="preserve"> Scherer. </w:t>
      </w:r>
      <w:r w:rsidR="00F161CD">
        <w:t xml:space="preserve">Compliance options to meet </w:t>
      </w:r>
      <w:r w:rsidRPr="00AC6B6F">
        <w:t>zero discharge of bottom ash include</w:t>
      </w:r>
      <w:r w:rsidR="00F161CD">
        <w:t>d</w:t>
      </w:r>
      <w:r w:rsidRPr="00AC6B6F">
        <w:t xml:space="preserve"> either an under-boiler or remote system</w:t>
      </w:r>
      <w:r w:rsidR="00A13973">
        <w:t xml:space="preserve">. The technology decision for each site </w:t>
      </w:r>
      <w:r w:rsidR="00CE0C1F">
        <w:t>was</w:t>
      </w:r>
      <w:r w:rsidRPr="00AC6B6F">
        <w:t xml:space="preserve"> primarily determined by space availability and headroom constraints under the boiler. The Company’s strategy for bottom ash transport water compliance </w:t>
      </w:r>
      <w:r w:rsidR="00D03C64">
        <w:t>wa</w:t>
      </w:r>
      <w:r w:rsidRPr="00AC6B6F">
        <w:t>s</w:t>
      </w:r>
      <w:r w:rsidR="00D03C64">
        <w:t xml:space="preserve"> installation of</w:t>
      </w:r>
      <w:r w:rsidRPr="00AC6B6F">
        <w:t xml:space="preserve"> </w:t>
      </w:r>
      <w:r w:rsidR="006A73C6">
        <w:t>“</w:t>
      </w:r>
      <w:r w:rsidRPr="00AC6B6F">
        <w:t>dry</w:t>
      </w:r>
      <w:r w:rsidR="006A73C6">
        <w:t>”</w:t>
      </w:r>
      <w:r w:rsidRPr="00AC6B6F">
        <w:t xml:space="preserve"> handling A</w:t>
      </w:r>
      <w:r w:rsidR="00363A9D">
        <w:t>sh</w:t>
      </w:r>
      <w:r w:rsidRPr="00AC6B6F">
        <w:t xml:space="preserve"> Coolers at Plant Scherer and </w:t>
      </w:r>
      <w:r w:rsidR="005E5475">
        <w:t>“</w:t>
      </w:r>
      <w:r w:rsidRPr="00AC6B6F">
        <w:t>wet</w:t>
      </w:r>
      <w:r w:rsidR="005E5475">
        <w:t>”</w:t>
      </w:r>
      <w:r w:rsidRPr="00AC6B6F">
        <w:t xml:space="preserve"> </w:t>
      </w:r>
      <w:r w:rsidR="00F748EF">
        <w:t>r</w:t>
      </w:r>
      <w:r w:rsidRPr="00AC6B6F">
        <w:t xml:space="preserve">emote </w:t>
      </w:r>
      <w:r w:rsidR="00F748EF">
        <w:t>m</w:t>
      </w:r>
      <w:r w:rsidRPr="00AC6B6F">
        <w:t xml:space="preserve">echanical </w:t>
      </w:r>
      <w:r w:rsidR="00F748EF">
        <w:t>d</w:t>
      </w:r>
      <w:r w:rsidRPr="00AC6B6F">
        <w:t xml:space="preserve">rag </w:t>
      </w:r>
      <w:r w:rsidR="00F748EF">
        <w:t>c</w:t>
      </w:r>
      <w:r w:rsidRPr="00AC6B6F">
        <w:t xml:space="preserve">hains (“RMDCs”) at Plant Bowen. </w:t>
      </w:r>
      <w:r w:rsidR="00D244A7">
        <w:t>In addition to ash management projects, the Company implemented changes and/or additions to low volume wastewater treatment syst</w:t>
      </w:r>
      <w:r w:rsidR="00654D3D">
        <w:t>e</w:t>
      </w:r>
      <w:r w:rsidR="00D244A7">
        <w:t>ms</w:t>
      </w:r>
      <w:r w:rsidR="00654D3D">
        <w:t xml:space="preserve"> at all affected sites to </w:t>
      </w:r>
      <w:r w:rsidR="00457CD5">
        <w:t>cease ongoing use of the ash ponds.</w:t>
      </w:r>
    </w:p>
    <w:p w14:paraId="173CA3BE" w14:textId="3E0E4994" w:rsidR="008B53FE" w:rsidRDefault="004F4A0F" w:rsidP="00406690">
      <w:r w:rsidRPr="006F1023">
        <w:t>Compliance</w:t>
      </w:r>
      <w:r w:rsidRPr="0084296F">
        <w:t xml:space="preserve"> with the </w:t>
      </w:r>
      <w:r>
        <w:t>ELG</w:t>
      </w:r>
      <w:r w:rsidR="007E4B3D">
        <w:t xml:space="preserve"> Reconsideration Rule</w:t>
      </w:r>
      <w:r>
        <w:t xml:space="preserve"> for </w:t>
      </w:r>
      <w:r w:rsidR="00E34903">
        <w:t>scrubber</w:t>
      </w:r>
      <w:r>
        <w:t xml:space="preserve"> wastewater</w:t>
      </w:r>
      <w:r w:rsidRPr="0084296F">
        <w:t xml:space="preserve"> </w:t>
      </w:r>
      <w:r w:rsidRPr="37612734">
        <w:rPr>
          <w:rFonts w:cs="Arial"/>
        </w:rPr>
        <w:t xml:space="preserve">is a site-specific effort that </w:t>
      </w:r>
      <w:r w:rsidR="006E7860">
        <w:rPr>
          <w:rFonts w:cs="Arial"/>
        </w:rPr>
        <w:t>requires</w:t>
      </w:r>
      <w:r w:rsidRPr="37612734">
        <w:rPr>
          <w:rFonts w:cs="Arial"/>
        </w:rPr>
        <w:t xml:space="preserve"> a tailored design for </w:t>
      </w:r>
      <w:r w:rsidR="35122841" w:rsidRPr="46406000">
        <w:rPr>
          <w:rFonts w:cs="Arial"/>
        </w:rPr>
        <w:t xml:space="preserve">each </w:t>
      </w:r>
      <w:r w:rsidR="00947A4D">
        <w:rPr>
          <w:rFonts w:cs="Arial"/>
        </w:rPr>
        <w:t>facility</w:t>
      </w:r>
      <w:r w:rsidRPr="37612734">
        <w:rPr>
          <w:rFonts w:cs="Arial"/>
        </w:rPr>
        <w:t xml:space="preserve">’s water chemistry and water volume needs, as well as site-specific logistics and space availability. </w:t>
      </w:r>
      <w:r w:rsidR="00E84D73">
        <w:rPr>
          <w:bCs/>
        </w:rPr>
        <w:t xml:space="preserve">After evaluation of </w:t>
      </w:r>
      <w:r w:rsidR="00BE3E3C" w:rsidRPr="0016047A">
        <w:rPr>
          <w:bCs/>
        </w:rPr>
        <w:t xml:space="preserve">the different compliance pathways allowed by the </w:t>
      </w:r>
      <w:r w:rsidR="003E56DC">
        <w:rPr>
          <w:bCs/>
        </w:rPr>
        <w:t>ELG Reconsideration R</w:t>
      </w:r>
      <w:r w:rsidR="00BE3E3C" w:rsidRPr="0016047A">
        <w:rPr>
          <w:bCs/>
        </w:rPr>
        <w:t>ule</w:t>
      </w:r>
      <w:r w:rsidR="005C1D0A">
        <w:rPr>
          <w:bCs/>
        </w:rPr>
        <w:t>,</w:t>
      </w:r>
      <w:r w:rsidR="00BE3E3C">
        <w:rPr>
          <w:bCs/>
        </w:rPr>
        <w:t xml:space="preserve"> </w:t>
      </w:r>
      <w:r w:rsidR="005C1D0A">
        <w:rPr>
          <w:bCs/>
        </w:rPr>
        <w:t xml:space="preserve">the Company </w:t>
      </w:r>
      <w:r w:rsidR="00BE3E3C" w:rsidRPr="0016047A">
        <w:rPr>
          <w:bCs/>
        </w:rPr>
        <w:t xml:space="preserve">filed </w:t>
      </w:r>
      <w:r w:rsidR="003E56DC">
        <w:rPr>
          <w:bCs/>
        </w:rPr>
        <w:t xml:space="preserve">NOPPs </w:t>
      </w:r>
      <w:r w:rsidR="00BE3E3C">
        <w:rPr>
          <w:bCs/>
        </w:rPr>
        <w:t>with Georgia EPD</w:t>
      </w:r>
      <w:r w:rsidR="005C1D0A">
        <w:rPr>
          <w:bCs/>
        </w:rPr>
        <w:t xml:space="preserve"> by the required October 13, 2021</w:t>
      </w:r>
      <w:r w:rsidR="005A7C3C">
        <w:rPr>
          <w:bCs/>
        </w:rPr>
        <w:t>,</w:t>
      </w:r>
      <w:r w:rsidR="005C1D0A">
        <w:rPr>
          <w:bCs/>
        </w:rPr>
        <w:t xml:space="preserve"> deadline</w:t>
      </w:r>
      <w:r w:rsidR="00BE3E3C" w:rsidRPr="0016047A">
        <w:rPr>
          <w:bCs/>
        </w:rPr>
        <w:t>.</w:t>
      </w:r>
      <w:r w:rsidR="007C14B7">
        <w:rPr>
          <w:bCs/>
        </w:rPr>
        <w:t xml:space="preserve"> </w:t>
      </w:r>
      <w:r w:rsidR="00F40E5A">
        <w:rPr>
          <w:bCs/>
        </w:rPr>
        <w:t>T</w:t>
      </w:r>
      <w:r w:rsidR="00BE3E3C">
        <w:rPr>
          <w:bCs/>
        </w:rPr>
        <w:t>hese</w:t>
      </w:r>
      <w:r w:rsidR="00BE3E3C" w:rsidRPr="0016047A">
        <w:rPr>
          <w:bCs/>
        </w:rPr>
        <w:t xml:space="preserve"> filing</w:t>
      </w:r>
      <w:r w:rsidR="00BE3E3C">
        <w:rPr>
          <w:bCs/>
        </w:rPr>
        <w:t>s</w:t>
      </w:r>
      <w:r w:rsidR="00F40E5A">
        <w:rPr>
          <w:bCs/>
        </w:rPr>
        <w:t xml:space="preserve"> </w:t>
      </w:r>
      <w:r w:rsidR="00BE3E3C">
        <w:rPr>
          <w:bCs/>
        </w:rPr>
        <w:t xml:space="preserve">notified Georgia EPD of </w:t>
      </w:r>
      <w:r w:rsidR="00F40E5A">
        <w:rPr>
          <w:bCs/>
        </w:rPr>
        <w:t>the Company’s</w:t>
      </w:r>
      <w:r w:rsidR="00BE3E3C" w:rsidRPr="0FABDADC">
        <w:rPr>
          <w:rFonts w:cs="Arial"/>
        </w:rPr>
        <w:t xml:space="preserve"> intent to permanently cease coal combustion no later than December 31, 2028, for Plant Bowen Units 1 and 2, Plant Scherer Unit 3, and Plant Wansley Units 1 and 2</w:t>
      </w:r>
      <w:r w:rsidR="00B70BEF" w:rsidRPr="0FABDADC">
        <w:rPr>
          <w:rFonts w:cs="Arial"/>
        </w:rPr>
        <w:t xml:space="preserve">; </w:t>
      </w:r>
      <w:r w:rsidR="00BE3E3C" w:rsidRPr="0FABDADC">
        <w:rPr>
          <w:rFonts w:cs="Arial"/>
        </w:rPr>
        <w:t xml:space="preserve">to pursue ELG compliance </w:t>
      </w:r>
      <w:r w:rsidR="00724ACB" w:rsidRPr="0FABDADC">
        <w:rPr>
          <w:rFonts w:cs="Arial"/>
        </w:rPr>
        <w:t xml:space="preserve">for Plant Scherer Units 1 and 2 </w:t>
      </w:r>
      <w:r w:rsidR="00BE3E3C" w:rsidRPr="0FABDADC">
        <w:rPr>
          <w:rFonts w:cs="Arial"/>
        </w:rPr>
        <w:t xml:space="preserve">through the </w:t>
      </w:r>
      <w:r w:rsidR="00E2262C" w:rsidRPr="0FABDADC">
        <w:rPr>
          <w:rFonts w:cs="Arial"/>
        </w:rPr>
        <w:t xml:space="preserve">VIP </w:t>
      </w:r>
      <w:r w:rsidR="00BE3E3C" w:rsidRPr="0FABDADC">
        <w:rPr>
          <w:rFonts w:cs="Arial"/>
        </w:rPr>
        <w:t>subcategory with a compliance deadline of December 31, 2028</w:t>
      </w:r>
      <w:r w:rsidR="004A697B" w:rsidRPr="0FABDADC">
        <w:rPr>
          <w:rFonts w:cs="Arial"/>
        </w:rPr>
        <w:t>;</w:t>
      </w:r>
      <w:r w:rsidR="001D2C83" w:rsidRPr="0FABDADC">
        <w:rPr>
          <w:rFonts w:cs="Arial"/>
        </w:rPr>
        <w:t xml:space="preserve"> and</w:t>
      </w:r>
      <w:r w:rsidR="00FA24EF" w:rsidRPr="0FABDADC">
        <w:rPr>
          <w:rFonts w:cs="Arial"/>
        </w:rPr>
        <w:t xml:space="preserve"> </w:t>
      </w:r>
      <w:r w:rsidR="00BE3E3C" w:rsidRPr="0FABDADC">
        <w:rPr>
          <w:rFonts w:cs="Arial"/>
        </w:rPr>
        <w:t xml:space="preserve">to comply with the generally applicable requirements </w:t>
      </w:r>
      <w:r w:rsidR="00724ACB" w:rsidRPr="0FABDADC">
        <w:rPr>
          <w:rFonts w:cs="Arial"/>
        </w:rPr>
        <w:t xml:space="preserve">for Plant Bowen Units 3 and 4 </w:t>
      </w:r>
      <w:r w:rsidR="00BE3E3C" w:rsidRPr="0FABDADC">
        <w:rPr>
          <w:rFonts w:cs="Arial"/>
        </w:rPr>
        <w:t>by December 31, 2025.</w:t>
      </w:r>
      <w:r w:rsidR="00FA24EF" w:rsidRPr="0FABDADC">
        <w:rPr>
          <w:rFonts w:cs="Arial"/>
        </w:rPr>
        <w:t xml:space="preserve"> For Plant Gaston Units 1-4, a</w:t>
      </w:r>
      <w:r w:rsidR="00BE3E3C" w:rsidRPr="00BE3E3C">
        <w:t xml:space="preserve"> NOPP was submitted to </w:t>
      </w:r>
      <w:r w:rsidR="00236831">
        <w:t>ADEM</w:t>
      </w:r>
      <w:r w:rsidR="00BE3E3C" w:rsidRPr="00BE3E3C">
        <w:t xml:space="preserve"> </w:t>
      </w:r>
      <w:r w:rsidR="00FA24EF">
        <w:t xml:space="preserve">indicating </w:t>
      </w:r>
      <w:r w:rsidR="00BE3E3C" w:rsidRPr="00BE3E3C">
        <w:t xml:space="preserve">the intent to permanently cease coal combustion through retirement by December 31, 2028. </w:t>
      </w:r>
      <w:r w:rsidR="682869BE" w:rsidRPr="4DD55046">
        <w:t xml:space="preserve">In the 2022 IRP, the Commission approved the retirements of </w:t>
      </w:r>
      <w:r w:rsidR="58EAAC95" w:rsidRPr="4DD55046">
        <w:t xml:space="preserve">Plant </w:t>
      </w:r>
      <w:r w:rsidR="682869BE" w:rsidRPr="4DD55046">
        <w:t>Wansley Units 1 and 2</w:t>
      </w:r>
      <w:r w:rsidR="00876B98">
        <w:t xml:space="preserve"> in August 2022</w:t>
      </w:r>
      <w:r w:rsidR="0BB9BD7B" w:rsidRPr="4DD55046">
        <w:t xml:space="preserve">, </w:t>
      </w:r>
      <w:r w:rsidR="00876B98">
        <w:t xml:space="preserve">and </w:t>
      </w:r>
      <w:r w:rsidR="00876B98" w:rsidRPr="4DD55046">
        <w:t xml:space="preserve">Plant </w:t>
      </w:r>
      <w:r w:rsidR="00876B98" w:rsidRPr="4DD55046">
        <w:lastRenderedPageBreak/>
        <w:t>Scherer Unit 3</w:t>
      </w:r>
      <w:r w:rsidR="00876B98">
        <w:rPr>
          <w:bCs/>
        </w:rPr>
        <w:t xml:space="preserve"> </w:t>
      </w:r>
      <w:r w:rsidR="0BB9BD7B" w:rsidRPr="4DD55046">
        <w:t>and Plant</w:t>
      </w:r>
      <w:r w:rsidR="001714FA">
        <w:rPr>
          <w:bCs/>
        </w:rPr>
        <w:t xml:space="preserve"> </w:t>
      </w:r>
      <w:r w:rsidR="0BB9BD7B" w:rsidRPr="4DD55046">
        <w:t>Gaston Units</w:t>
      </w:r>
      <w:r w:rsidR="001714FA">
        <w:rPr>
          <w:bCs/>
        </w:rPr>
        <w:t xml:space="preserve"> </w:t>
      </w:r>
      <w:r w:rsidR="0BB9BD7B" w:rsidRPr="4DD55046">
        <w:t>1</w:t>
      </w:r>
      <w:r w:rsidR="1322A2E3" w:rsidRPr="4DD55046">
        <w:t>-</w:t>
      </w:r>
      <w:r w:rsidR="0BB9BD7B">
        <w:t>4</w:t>
      </w:r>
      <w:r w:rsidR="00876B98">
        <w:t xml:space="preserve"> by December 31, 2028</w:t>
      </w:r>
      <w:r w:rsidR="682869BE">
        <w:rPr>
          <w:bCs/>
        </w:rPr>
        <w:t xml:space="preserve">. </w:t>
      </w:r>
      <w:r w:rsidR="682869BE" w:rsidRPr="4DD55046">
        <w:t>The Commission deferred the decision for retirement of Plant Bowen Units 1 and 2</w:t>
      </w:r>
      <w:r w:rsidR="1EA3B69D" w:rsidRPr="4DD55046">
        <w:t xml:space="preserve"> to the 2025 IRP</w:t>
      </w:r>
      <w:r w:rsidR="682869BE" w:rsidRPr="4DD55046">
        <w:t xml:space="preserve">. </w:t>
      </w:r>
    </w:p>
    <w:p w14:paraId="171D6C7C" w14:textId="4D1A1285" w:rsidR="00BE3E3C" w:rsidRPr="00E51F50" w:rsidRDefault="00991F0C" w:rsidP="00406690">
      <w:r w:rsidRPr="00567DDE">
        <w:t xml:space="preserve">In October 2023, the Company filed a 2023 IRP Update in response to extraordinary load growth and an accelerated capacity need beginning in the winter of 2025/2026 – a full three years earlier than projected in the 2022 IRP. With the </w:t>
      </w:r>
      <w:r w:rsidR="003D6210" w:rsidRPr="00567DDE">
        <w:t>continuing</w:t>
      </w:r>
      <w:r w:rsidRPr="00567DDE">
        <w:t xml:space="preserve"> increase to the Company’s projected load forecast and the magnitude of capacity needs in 2028 and beyond, for planning purposes, the Company </w:t>
      </w:r>
      <w:r w:rsidR="007D0A52" w:rsidRPr="00567DDE">
        <w:t xml:space="preserve">has </w:t>
      </w:r>
      <w:r w:rsidRPr="00567DDE">
        <w:t xml:space="preserve">assumed a retirement date at the end of 2035 for Plant Bowen Units 1-2. The Company </w:t>
      </w:r>
      <w:r w:rsidR="00F26130" w:rsidRPr="00567DDE">
        <w:t xml:space="preserve">also reviewed capacity needs in a scenario in which Plant Scherer Unit 3 and Plant Gaston Units 1-4 continue operating through 2035. </w:t>
      </w:r>
      <w:r w:rsidR="00F0423B" w:rsidRPr="00567DDE">
        <w:t>T</w:t>
      </w:r>
      <w:r w:rsidR="00F0423B" w:rsidRPr="00D57783">
        <w:t xml:space="preserve">he Company </w:t>
      </w:r>
      <w:r w:rsidR="00D960A4" w:rsidRPr="00D57783">
        <w:t>is making</w:t>
      </w:r>
      <w:r w:rsidR="00CD336A" w:rsidRPr="00D57783">
        <w:t xml:space="preserve"> </w:t>
      </w:r>
      <w:r w:rsidR="00866A85" w:rsidRPr="00D57783">
        <w:t>a</w:t>
      </w:r>
      <w:r w:rsidR="00CD336A" w:rsidRPr="00D57783">
        <w:t xml:space="preserve"> formal recommendation in </w:t>
      </w:r>
      <w:r w:rsidR="00D960A4" w:rsidRPr="00D57783">
        <w:t xml:space="preserve">this </w:t>
      </w:r>
      <w:r w:rsidR="00CD336A" w:rsidRPr="00D57783">
        <w:t>2025 IRP on the</w:t>
      </w:r>
      <w:r w:rsidR="00CD336A" w:rsidRPr="00D57783" w:rsidDel="007D0A52">
        <w:t xml:space="preserve"> </w:t>
      </w:r>
      <w:r w:rsidR="00CD336A" w:rsidRPr="00D57783">
        <w:t>continued operation</w:t>
      </w:r>
      <w:r w:rsidR="00C83CA6" w:rsidRPr="00D57783">
        <w:t>s for Plant Bowen Units 1 and 2, as well as extending the operation</w:t>
      </w:r>
      <w:r w:rsidR="00E62733" w:rsidRPr="00D57783">
        <w:t xml:space="preserve"> of Plant Scherer 3 and Plant Gaston Units 1</w:t>
      </w:r>
      <w:r w:rsidR="00903E36" w:rsidRPr="00D57783">
        <w:t>-</w:t>
      </w:r>
      <w:r w:rsidR="00E62733" w:rsidRPr="00D57783">
        <w:t xml:space="preserve">4 beyond the </w:t>
      </w:r>
      <w:r w:rsidR="003D51CD" w:rsidRPr="00D57783">
        <w:t xml:space="preserve">previously approved </w:t>
      </w:r>
      <w:r w:rsidR="00E62733" w:rsidRPr="00D57783">
        <w:t>retirement dates in 2028</w:t>
      </w:r>
      <w:r w:rsidR="00F0423B" w:rsidRPr="00D57783">
        <w:t xml:space="preserve">. </w:t>
      </w:r>
      <w:r w:rsidR="682869BE" w:rsidRPr="4DD55046">
        <w:t xml:space="preserve">While the Company’s </w:t>
      </w:r>
      <w:r w:rsidR="00C465C6">
        <w:t xml:space="preserve">proposed </w:t>
      </w:r>
      <w:r w:rsidR="682869BE" w:rsidRPr="4DD55046">
        <w:t>NOPP</w:t>
      </w:r>
      <w:r w:rsidR="001B2B70">
        <w:t>s</w:t>
      </w:r>
      <w:r w:rsidR="682869BE" w:rsidRPr="4DD55046">
        <w:t xml:space="preserve"> for </w:t>
      </w:r>
      <w:r w:rsidR="00C10F07">
        <w:t xml:space="preserve">these units </w:t>
      </w:r>
      <w:r w:rsidR="00A048DE">
        <w:t xml:space="preserve">indicated </w:t>
      </w:r>
      <w:r w:rsidR="682869BE" w:rsidRPr="4DD55046">
        <w:t xml:space="preserve">the </w:t>
      </w:r>
      <w:r w:rsidR="00A048DE">
        <w:t xml:space="preserve">planned </w:t>
      </w:r>
      <w:r w:rsidR="682869BE" w:rsidRPr="4DD55046">
        <w:t xml:space="preserve">cessation of coal combustion by 2028, </w:t>
      </w:r>
      <w:r w:rsidR="085A1D2B" w:rsidRPr="4DD55046">
        <w:t xml:space="preserve">the </w:t>
      </w:r>
      <w:r w:rsidR="00866A85">
        <w:t>G</w:t>
      </w:r>
      <w:r w:rsidR="085A1D2B" w:rsidRPr="4DD55046">
        <w:t xml:space="preserve">PSC’s decision-making </w:t>
      </w:r>
      <w:r w:rsidR="3BAD6F06" w:rsidRPr="4DD55046">
        <w:t xml:space="preserve">related to the </w:t>
      </w:r>
      <w:r w:rsidR="48F9E53A" w:rsidRPr="4DD55046">
        <w:t>operation</w:t>
      </w:r>
      <w:r w:rsidR="3BAD6F06" w:rsidRPr="4DD55046">
        <w:t xml:space="preserve"> of these units </w:t>
      </w:r>
      <w:r w:rsidR="000C66AE">
        <w:t xml:space="preserve">will ultimately be a factor </w:t>
      </w:r>
      <w:r w:rsidR="000C66AE" w:rsidRPr="4DD55046">
        <w:t xml:space="preserve">Georgia EPD </w:t>
      </w:r>
      <w:r w:rsidR="000C66AE">
        <w:t>and ADEM</w:t>
      </w:r>
      <w:r w:rsidR="000C66AE" w:rsidRPr="4DD55046">
        <w:t xml:space="preserve"> must consider</w:t>
      </w:r>
      <w:r w:rsidR="085A1D2B" w:rsidRPr="4DD55046">
        <w:t xml:space="preserve">. </w:t>
      </w:r>
      <w:r w:rsidR="7A77875C" w:rsidRPr="4DD55046">
        <w:t>In addition</w:t>
      </w:r>
      <w:r w:rsidR="6E3B1234">
        <w:rPr>
          <w:bCs/>
        </w:rPr>
        <w:t xml:space="preserve">, </w:t>
      </w:r>
      <w:r w:rsidR="4EB5CA60" w:rsidRPr="4DD55046">
        <w:t xml:space="preserve">due to the </w:t>
      </w:r>
      <w:r w:rsidR="4B32AC55" w:rsidRPr="4DD55046">
        <w:t>site</w:t>
      </w:r>
      <w:r w:rsidR="7F53A737">
        <w:rPr>
          <w:bCs/>
        </w:rPr>
        <w:t>-</w:t>
      </w:r>
      <w:r w:rsidR="4B32AC55" w:rsidRPr="4DD55046">
        <w:t xml:space="preserve">specific </w:t>
      </w:r>
      <w:r w:rsidR="7F53A737" w:rsidRPr="4DD55046">
        <w:t>water balance</w:t>
      </w:r>
      <w:r w:rsidR="00567B25">
        <w:t>s</w:t>
      </w:r>
      <w:r w:rsidR="6E3B1234">
        <w:rPr>
          <w:bCs/>
        </w:rPr>
        <w:t xml:space="preserve">, </w:t>
      </w:r>
      <w:r w:rsidR="682869BE" w:rsidRPr="4DD55046">
        <w:t>the Company</w:t>
      </w:r>
      <w:r w:rsidR="4364A878" w:rsidRPr="4DD55046">
        <w:t xml:space="preserve">’s </w:t>
      </w:r>
      <w:r w:rsidR="009A4BBF">
        <w:t>scrubber</w:t>
      </w:r>
      <w:r w:rsidR="4364A878" w:rsidRPr="4DD55046">
        <w:t xml:space="preserve"> wastewater treatment strategy </w:t>
      </w:r>
      <w:r w:rsidR="007221E9">
        <w:t xml:space="preserve">for Plants Bowen and Scherer </w:t>
      </w:r>
      <w:r w:rsidR="4364A878" w:rsidRPr="4DD55046">
        <w:t>provide</w:t>
      </w:r>
      <w:r w:rsidR="005C5A5B">
        <w:t>s</w:t>
      </w:r>
      <w:r w:rsidR="4364A878" w:rsidRPr="4DD55046">
        <w:t xml:space="preserve"> the flexibility to </w:t>
      </w:r>
      <w:r w:rsidR="682869BE" w:rsidRPr="4DD55046">
        <w:t>include those units in the treatment</w:t>
      </w:r>
      <w:r w:rsidR="007221E9">
        <w:t xml:space="preserve"> </w:t>
      </w:r>
      <w:r w:rsidR="0023078E">
        <w:t xml:space="preserve">systems </w:t>
      </w:r>
      <w:r w:rsidR="007221E9">
        <w:t xml:space="preserve">that </w:t>
      </w:r>
      <w:r w:rsidR="00F2065A">
        <w:t>are</w:t>
      </w:r>
      <w:r w:rsidR="007221E9">
        <w:t xml:space="preserve"> currently </w:t>
      </w:r>
      <w:r w:rsidR="00F8049A">
        <w:t>under construction</w:t>
      </w:r>
      <w:r w:rsidR="005C2690">
        <w:t xml:space="preserve"> if </w:t>
      </w:r>
      <w:r w:rsidR="001F2D1F">
        <w:t xml:space="preserve">Plant </w:t>
      </w:r>
      <w:r w:rsidR="005C2690">
        <w:t xml:space="preserve">Bowen Units 1-2 and </w:t>
      </w:r>
      <w:r w:rsidR="001F2D1F">
        <w:t>Plant</w:t>
      </w:r>
      <w:r w:rsidR="005C2690">
        <w:t xml:space="preserve"> Scherer Unit 3 </w:t>
      </w:r>
      <w:r w:rsidR="001507C7">
        <w:t xml:space="preserve">continue to </w:t>
      </w:r>
      <w:r w:rsidR="005C2690">
        <w:t>operate beyond 2028</w:t>
      </w:r>
      <w:r w:rsidR="0B10597C">
        <w:rPr>
          <w:bCs/>
        </w:rPr>
        <w:t>.</w:t>
      </w:r>
      <w:r w:rsidR="007D0A52">
        <w:rPr>
          <w:bCs/>
        </w:rPr>
        <w:t xml:space="preserve"> Plant Gaston does not have scrubber wastewater</w:t>
      </w:r>
      <w:r w:rsidR="0010732C">
        <w:rPr>
          <w:bCs/>
        </w:rPr>
        <w:t xml:space="preserve">. </w:t>
      </w:r>
      <w:r w:rsidR="008F3CCD">
        <w:rPr>
          <w:bCs/>
        </w:rPr>
        <w:t xml:space="preserve">To meet </w:t>
      </w:r>
      <w:r w:rsidR="006B1E37">
        <w:rPr>
          <w:bCs/>
        </w:rPr>
        <w:t xml:space="preserve">2020 Rule generally applicable limitations of zero discharge, Gaston </w:t>
      </w:r>
      <w:r w:rsidR="0010732C">
        <w:rPr>
          <w:bCs/>
        </w:rPr>
        <w:t xml:space="preserve">plans to continue use of a </w:t>
      </w:r>
      <w:r w:rsidR="002679A1">
        <w:rPr>
          <w:bCs/>
        </w:rPr>
        <w:t>RMDC</w:t>
      </w:r>
      <w:r w:rsidR="00902440">
        <w:rPr>
          <w:bCs/>
        </w:rPr>
        <w:t xml:space="preserve"> system </w:t>
      </w:r>
      <w:r w:rsidR="0031488D">
        <w:rPr>
          <w:bCs/>
        </w:rPr>
        <w:t>currently onsite</w:t>
      </w:r>
      <w:r w:rsidR="007D0A52">
        <w:rPr>
          <w:bCs/>
        </w:rPr>
        <w:t xml:space="preserve"> but will require additional pipe installations</w:t>
      </w:r>
      <w:r w:rsidR="00A90DCA">
        <w:rPr>
          <w:bCs/>
        </w:rPr>
        <w:t>.</w:t>
      </w:r>
    </w:p>
    <w:p w14:paraId="5896A4FF" w14:textId="1CC338B8" w:rsidR="0081129F" w:rsidRDefault="00F45224" w:rsidP="00406690">
      <w:pPr>
        <w:rPr>
          <w:bCs/>
        </w:rPr>
      </w:pPr>
      <w:r>
        <w:rPr>
          <w:bCs/>
        </w:rPr>
        <w:t>The Company’s R&amp;D and testing of water treatment technologies</w:t>
      </w:r>
      <w:r w:rsidR="00481D1F">
        <w:rPr>
          <w:bCs/>
        </w:rPr>
        <w:t>, as</w:t>
      </w:r>
      <w:r w:rsidR="001A3921">
        <w:rPr>
          <w:bCs/>
        </w:rPr>
        <w:t xml:space="preserve"> further</w:t>
      </w:r>
      <w:r w:rsidR="00481D1F">
        <w:rPr>
          <w:bCs/>
        </w:rPr>
        <w:t xml:space="preserve"> discussed in </w:t>
      </w:r>
      <w:hyperlink w:anchor="_ECS_-_Appendix">
        <w:r w:rsidR="00481D1F" w:rsidRPr="2ABE2BBE">
          <w:rPr>
            <w:rStyle w:val="Hyperlink"/>
            <w:rFonts w:asciiTheme="minorHAnsi" w:hAnsiTheme="minorHAnsi" w:cstheme="minorBidi"/>
            <w:color w:val="auto"/>
            <w:u w:val="none"/>
          </w:rPr>
          <w:t>Appendix C</w:t>
        </w:r>
      </w:hyperlink>
      <w:r w:rsidR="00481D1F">
        <w:rPr>
          <w:bCs/>
        </w:rPr>
        <w:t>,</w:t>
      </w:r>
      <w:r w:rsidR="00322693">
        <w:rPr>
          <w:bCs/>
        </w:rPr>
        <w:t xml:space="preserve"> has</w:t>
      </w:r>
      <w:r>
        <w:rPr>
          <w:bCs/>
        </w:rPr>
        <w:t xml:space="preserve"> include</w:t>
      </w:r>
      <w:r w:rsidR="00322693">
        <w:rPr>
          <w:bCs/>
        </w:rPr>
        <w:t>d</w:t>
      </w:r>
      <w:r>
        <w:rPr>
          <w:bCs/>
        </w:rPr>
        <w:t xml:space="preserve"> </w:t>
      </w:r>
      <w:proofErr w:type="spellStart"/>
      <w:r>
        <w:rPr>
          <w:bCs/>
        </w:rPr>
        <w:t>phys</w:t>
      </w:r>
      <w:proofErr w:type="spellEnd"/>
      <w:r>
        <w:rPr>
          <w:bCs/>
        </w:rPr>
        <w:t>-chem-bio treatment systems</w:t>
      </w:r>
      <w:r w:rsidR="00D924BD">
        <w:rPr>
          <w:bCs/>
        </w:rPr>
        <w:t>,</w:t>
      </w:r>
      <w:r>
        <w:rPr>
          <w:bCs/>
        </w:rPr>
        <w:t xml:space="preserve"> as well as </w:t>
      </w:r>
      <w:r w:rsidRPr="00C12B4D">
        <w:rPr>
          <w:bCs/>
        </w:rPr>
        <w:t>membrane</w:t>
      </w:r>
      <w:r>
        <w:rPr>
          <w:bCs/>
        </w:rPr>
        <w:t>-based</w:t>
      </w:r>
      <w:r w:rsidRPr="00C12B4D">
        <w:rPr>
          <w:bCs/>
        </w:rPr>
        <w:t xml:space="preserve"> </w:t>
      </w:r>
      <w:r>
        <w:rPr>
          <w:bCs/>
        </w:rPr>
        <w:t>treatment systems</w:t>
      </w:r>
      <w:r w:rsidRPr="00C12B4D">
        <w:rPr>
          <w:bCs/>
        </w:rPr>
        <w:t>.</w:t>
      </w:r>
      <w:r>
        <w:rPr>
          <w:bCs/>
        </w:rPr>
        <w:t xml:space="preserve"> Based on this research and testing, the Company selected a </w:t>
      </w:r>
      <w:proofErr w:type="spellStart"/>
      <w:r w:rsidR="001A5F3C">
        <w:rPr>
          <w:bCs/>
        </w:rPr>
        <w:t>phys</w:t>
      </w:r>
      <w:proofErr w:type="spellEnd"/>
      <w:r w:rsidR="001A5F3C">
        <w:rPr>
          <w:bCs/>
        </w:rPr>
        <w:t>-chem-bio</w:t>
      </w:r>
      <w:r>
        <w:rPr>
          <w:bCs/>
        </w:rPr>
        <w:t xml:space="preserve"> treatment system for Plant Bowen Units 3 and 4 to be </w:t>
      </w:r>
      <w:r w:rsidR="000061E5">
        <w:rPr>
          <w:bCs/>
        </w:rPr>
        <w:t xml:space="preserve">in commercial operation </w:t>
      </w:r>
      <w:r>
        <w:rPr>
          <w:bCs/>
        </w:rPr>
        <w:t>by December 31, 2025.</w:t>
      </w:r>
      <w:r w:rsidR="00F47D76">
        <w:rPr>
          <w:bCs/>
        </w:rPr>
        <w:t xml:space="preserve"> If the </w:t>
      </w:r>
      <w:r w:rsidR="00C25515">
        <w:rPr>
          <w:bCs/>
        </w:rPr>
        <w:t>G</w:t>
      </w:r>
      <w:r w:rsidR="00F47D76">
        <w:rPr>
          <w:bCs/>
        </w:rPr>
        <w:t xml:space="preserve">PSC approves the Company’s plan for the continued operation of Plant Bowen Units 1 and 2 beyond 2028, scrubber wastewater from those units will use the same treatment system currently under construction for </w:t>
      </w:r>
      <w:r w:rsidR="004D28A4">
        <w:rPr>
          <w:bCs/>
        </w:rPr>
        <w:t xml:space="preserve">Plant Bowen </w:t>
      </w:r>
      <w:r w:rsidR="00F47D76">
        <w:rPr>
          <w:bCs/>
        </w:rPr>
        <w:t>Units 3 and 4.</w:t>
      </w:r>
      <w:r>
        <w:rPr>
          <w:bCs/>
        </w:rPr>
        <w:t xml:space="preserve"> </w:t>
      </w:r>
      <w:r w:rsidR="0081129F">
        <w:rPr>
          <w:bCs/>
        </w:rPr>
        <w:t xml:space="preserve">Based on plant-specific equipment and operational characteristics, the Company has selected a </w:t>
      </w:r>
      <w:r w:rsidR="00737A9E">
        <w:rPr>
          <w:bCs/>
        </w:rPr>
        <w:t xml:space="preserve">membrane-based technology system to meet the VIP compliance subcategory requirements </w:t>
      </w:r>
      <w:r w:rsidR="000A01B9">
        <w:rPr>
          <w:bCs/>
        </w:rPr>
        <w:t>for Plant Scherer Units 1 and 2</w:t>
      </w:r>
      <w:r w:rsidR="003B2BBF">
        <w:rPr>
          <w:bCs/>
        </w:rPr>
        <w:t xml:space="preserve"> by December 31, 2028</w:t>
      </w:r>
      <w:r w:rsidR="00737A9E">
        <w:rPr>
          <w:bCs/>
        </w:rPr>
        <w:t>.</w:t>
      </w:r>
      <w:r w:rsidR="007C14B7">
        <w:rPr>
          <w:bCs/>
        </w:rPr>
        <w:t xml:space="preserve"> </w:t>
      </w:r>
      <w:r w:rsidR="00F47D76">
        <w:t>Similar</w:t>
      </w:r>
      <w:r w:rsidR="4DB46D22">
        <w:t>l</w:t>
      </w:r>
      <w:r w:rsidR="00F47D76">
        <w:t>y</w:t>
      </w:r>
      <w:r w:rsidR="00F47D76">
        <w:rPr>
          <w:bCs/>
        </w:rPr>
        <w:t xml:space="preserve">, if the </w:t>
      </w:r>
      <w:r w:rsidR="00061A42">
        <w:rPr>
          <w:bCs/>
        </w:rPr>
        <w:t>G</w:t>
      </w:r>
      <w:r w:rsidR="00F47D76">
        <w:rPr>
          <w:bCs/>
        </w:rPr>
        <w:t>PSC approves the Company’s plan for the continued operation of Plant Scherer Unit 3 beyond 2028, the scrubber wastewater will be treated with the other units.</w:t>
      </w:r>
      <w:r w:rsidR="00B65399">
        <w:rPr>
          <w:bCs/>
        </w:rPr>
        <w:t xml:space="preserve"> The site-specific water quality and quantity characteristics at Plant Scherer </w:t>
      </w:r>
      <w:r w:rsidR="00C05035">
        <w:rPr>
          <w:bCs/>
        </w:rPr>
        <w:t xml:space="preserve">are a </w:t>
      </w:r>
      <w:r w:rsidR="00C676DD">
        <w:rPr>
          <w:bCs/>
        </w:rPr>
        <w:t xml:space="preserve">unique </w:t>
      </w:r>
      <w:r w:rsidR="002F59E6">
        <w:rPr>
          <w:bCs/>
        </w:rPr>
        <w:t xml:space="preserve">technical </w:t>
      </w:r>
      <w:r w:rsidR="00C676DD">
        <w:rPr>
          <w:bCs/>
        </w:rPr>
        <w:t xml:space="preserve">fit </w:t>
      </w:r>
      <w:r w:rsidR="002F59E6">
        <w:rPr>
          <w:bCs/>
        </w:rPr>
        <w:t xml:space="preserve">for </w:t>
      </w:r>
      <w:r w:rsidR="00C676DD">
        <w:rPr>
          <w:bCs/>
        </w:rPr>
        <w:t xml:space="preserve">the </w:t>
      </w:r>
      <w:r w:rsidR="00B65399">
        <w:rPr>
          <w:bCs/>
        </w:rPr>
        <w:t>VIP pathway</w:t>
      </w:r>
      <w:r w:rsidR="00C05035">
        <w:rPr>
          <w:bCs/>
        </w:rPr>
        <w:t>, allowing the membrane</w:t>
      </w:r>
      <w:r w:rsidR="007E3233">
        <w:rPr>
          <w:bCs/>
        </w:rPr>
        <w:t xml:space="preserve"> technology</w:t>
      </w:r>
      <w:r w:rsidR="00C05035">
        <w:rPr>
          <w:bCs/>
        </w:rPr>
        <w:t xml:space="preserve"> </w:t>
      </w:r>
      <w:r w:rsidR="002F59E6">
        <w:rPr>
          <w:bCs/>
        </w:rPr>
        <w:t xml:space="preserve">to be </w:t>
      </w:r>
      <w:r w:rsidR="005B2CF2">
        <w:rPr>
          <w:bCs/>
        </w:rPr>
        <w:t xml:space="preserve">cost </w:t>
      </w:r>
      <w:r w:rsidR="002F59E6">
        <w:rPr>
          <w:bCs/>
        </w:rPr>
        <w:t>competitive.</w:t>
      </w:r>
      <w:r w:rsidR="00B65399">
        <w:rPr>
          <w:bCs/>
        </w:rPr>
        <w:t xml:space="preserve"> </w:t>
      </w:r>
    </w:p>
    <w:p w14:paraId="79938093" w14:textId="0668E825" w:rsidR="00257346" w:rsidRDefault="009D568B" w:rsidP="00406690">
      <w:r>
        <w:t>As required by EPA in the</w:t>
      </w:r>
      <w:r w:rsidR="0075232B">
        <w:t xml:space="preserve"> 2020 </w:t>
      </w:r>
      <w:r w:rsidR="00581399">
        <w:t>R</w:t>
      </w:r>
      <w:r w:rsidR="0075232B">
        <w:t xml:space="preserve">econsideration Rule that remains in effect, </w:t>
      </w:r>
      <w:r w:rsidR="00BE3E3C" w:rsidRPr="00F8560B">
        <w:t xml:space="preserve">the </w:t>
      </w:r>
      <w:r w:rsidR="003819C4">
        <w:t xml:space="preserve">Company continues to </w:t>
      </w:r>
      <w:r>
        <w:t xml:space="preserve">pursue </w:t>
      </w:r>
      <w:r w:rsidR="003819C4">
        <w:t xml:space="preserve">the </w:t>
      </w:r>
      <w:r w:rsidR="00BE3E3C" w:rsidRPr="00F8560B">
        <w:t xml:space="preserve">procurement and construction </w:t>
      </w:r>
      <w:r w:rsidR="00BE3E3C">
        <w:t xml:space="preserve">of the </w:t>
      </w:r>
      <w:r w:rsidR="00E53D0B">
        <w:t xml:space="preserve">scrubber wastewater </w:t>
      </w:r>
      <w:r w:rsidR="00BE3E3C">
        <w:t>projects</w:t>
      </w:r>
      <w:r w:rsidR="00A94FAC">
        <w:t xml:space="preserve"> </w:t>
      </w:r>
      <w:r w:rsidR="00E30536">
        <w:t xml:space="preserve">described above </w:t>
      </w:r>
      <w:r w:rsidR="00A94FAC">
        <w:t xml:space="preserve">for Plant Bowen and </w:t>
      </w:r>
      <w:r w:rsidR="002A4CA0">
        <w:t xml:space="preserve">Plant </w:t>
      </w:r>
      <w:r w:rsidR="00A94FAC">
        <w:t>Scherer</w:t>
      </w:r>
      <w:r w:rsidR="00D84245">
        <w:t xml:space="preserve"> to meet the </w:t>
      </w:r>
      <w:r w:rsidR="00534F93">
        <w:t xml:space="preserve">respective </w:t>
      </w:r>
      <w:r w:rsidR="00D84245">
        <w:t>December 31, 2025</w:t>
      </w:r>
      <w:r w:rsidR="000F14DE">
        <w:t>,</w:t>
      </w:r>
      <w:r w:rsidR="00D84245">
        <w:t xml:space="preserve"> </w:t>
      </w:r>
      <w:r w:rsidR="00534F93">
        <w:t>and December 31, 2028</w:t>
      </w:r>
      <w:r w:rsidR="000F14DE">
        <w:t>,</w:t>
      </w:r>
      <w:r w:rsidR="00D84245">
        <w:t xml:space="preserve"> deadline</w:t>
      </w:r>
      <w:r w:rsidR="00534F93">
        <w:t>s</w:t>
      </w:r>
      <w:r w:rsidR="00BE3E3C">
        <w:t>.</w:t>
      </w:r>
      <w:r w:rsidR="009B10B5">
        <w:t xml:space="preserve"> </w:t>
      </w:r>
      <w:r w:rsidR="00F47D76">
        <w:t xml:space="preserve">However, the requirements of the final 2024 </w:t>
      </w:r>
      <w:r w:rsidR="00E04761">
        <w:t xml:space="preserve">Supplemental </w:t>
      </w:r>
      <w:r w:rsidR="00F47D76">
        <w:t>ELG Rule</w:t>
      </w:r>
      <w:r w:rsidR="00460829">
        <w:t xml:space="preserve"> </w:t>
      </w:r>
      <w:r w:rsidR="008445D5">
        <w:t>creates</w:t>
      </w:r>
      <w:r w:rsidR="00911A79">
        <w:t xml:space="preserve"> additional treatment needs for Plant Bowen.</w:t>
      </w:r>
      <w:r w:rsidR="006F4C2B">
        <w:t xml:space="preserve"> </w:t>
      </w:r>
      <w:r w:rsidR="00955A1F">
        <w:t>T</w:t>
      </w:r>
      <w:r w:rsidR="009B10B5" w:rsidRPr="0AF8DB6F">
        <w:t>he</w:t>
      </w:r>
      <w:r w:rsidR="009B10B5">
        <w:t xml:space="preserve"> Company has worked diligently to analyze compliance with the rule as part of its technical and economic process in </w:t>
      </w:r>
      <w:r w:rsidR="00727945">
        <w:t>th</w:t>
      </w:r>
      <w:r w:rsidR="00D90D67">
        <w:t>e</w:t>
      </w:r>
      <w:r w:rsidR="00727945">
        <w:t xml:space="preserve"> 2025 </w:t>
      </w:r>
      <w:r w:rsidR="009B10B5">
        <w:t>IRP</w:t>
      </w:r>
      <w:r w:rsidR="009B10B5" w:rsidRPr="00F8560B">
        <w:t>.</w:t>
      </w:r>
      <w:r w:rsidR="000366C7">
        <w:t xml:space="preserve"> For Plant Bowen, two alternatives have </w:t>
      </w:r>
      <w:r w:rsidR="00914E86">
        <w:t>been identified as potentially feasible.</w:t>
      </w:r>
      <w:r w:rsidR="00955A1F">
        <w:t xml:space="preserve"> </w:t>
      </w:r>
      <w:r w:rsidR="76A7225B">
        <w:t>First, t</w:t>
      </w:r>
      <w:r w:rsidR="4263B9C2">
        <w:t>he</w:t>
      </w:r>
      <w:r w:rsidR="007819C2">
        <w:t xml:space="preserve"> Company previously analyzed a membrane-evaporator-crystallizer system when the 2024 Rule was proposed and </w:t>
      </w:r>
      <w:r w:rsidR="007819C2">
        <w:lastRenderedPageBreak/>
        <w:t xml:space="preserve">provided comments to EPA on the technical and </w:t>
      </w:r>
      <w:r w:rsidR="00D21EB2">
        <w:t>economic</w:t>
      </w:r>
      <w:r w:rsidR="007819C2">
        <w:t xml:space="preserve"> challenges of implementation.</w:t>
      </w:r>
      <w:r w:rsidR="007819C2" w:rsidRPr="007819C2">
        <w:rPr>
          <w:bCs/>
        </w:rPr>
        <w:t xml:space="preserve"> </w:t>
      </w:r>
      <w:r w:rsidR="00076C96">
        <w:rPr>
          <w:bCs/>
        </w:rPr>
        <w:t xml:space="preserve">Despite these </w:t>
      </w:r>
      <w:r w:rsidR="003058CC">
        <w:rPr>
          <w:bCs/>
        </w:rPr>
        <w:t>challenges, the membrane-evaporator-</w:t>
      </w:r>
      <w:r w:rsidR="081327D9">
        <w:t>crystallizer</w:t>
      </w:r>
      <w:r w:rsidR="009A2F34">
        <w:t xml:space="preserve"> </w:t>
      </w:r>
      <w:r w:rsidR="4263B9C2">
        <w:t>system</w:t>
      </w:r>
      <w:r w:rsidR="007819C2">
        <w:rPr>
          <w:bCs/>
        </w:rPr>
        <w:t xml:space="preserve"> </w:t>
      </w:r>
      <w:r w:rsidR="00735072">
        <w:rPr>
          <w:bCs/>
        </w:rPr>
        <w:t>(among others)</w:t>
      </w:r>
      <w:r w:rsidR="007819C2">
        <w:rPr>
          <w:bCs/>
        </w:rPr>
        <w:t xml:space="preserve"> was </w:t>
      </w:r>
      <w:r w:rsidR="00735072">
        <w:rPr>
          <w:bCs/>
        </w:rPr>
        <w:t>established</w:t>
      </w:r>
      <w:r w:rsidR="007819C2">
        <w:rPr>
          <w:bCs/>
        </w:rPr>
        <w:t xml:space="preserve"> by EPA in the 2024 Rule as the technology basis for the ZLD limit.</w:t>
      </w:r>
      <w:r w:rsidR="001D0AAB">
        <w:rPr>
          <w:bCs/>
        </w:rPr>
        <w:t xml:space="preserve"> </w:t>
      </w:r>
      <w:r w:rsidR="00F32167">
        <w:rPr>
          <w:bCs/>
        </w:rPr>
        <w:t>T</w:t>
      </w:r>
      <w:r w:rsidR="007B4B75">
        <w:rPr>
          <w:bCs/>
        </w:rPr>
        <w:t xml:space="preserve">he Company has included control assumptions and costs related to installation of a </w:t>
      </w:r>
      <w:r w:rsidR="00914E86">
        <w:rPr>
          <w:bCs/>
        </w:rPr>
        <w:t>membrane</w:t>
      </w:r>
      <w:r w:rsidR="007819C2">
        <w:rPr>
          <w:bCs/>
        </w:rPr>
        <w:t>-</w:t>
      </w:r>
      <w:r w:rsidR="00914E86">
        <w:rPr>
          <w:bCs/>
        </w:rPr>
        <w:t xml:space="preserve">evaporator-crystallizer </w:t>
      </w:r>
      <w:r w:rsidR="007B4B75">
        <w:rPr>
          <w:bCs/>
        </w:rPr>
        <w:t xml:space="preserve">treatment system in this ECS and </w:t>
      </w:r>
      <w:r w:rsidR="007E7455">
        <w:rPr>
          <w:bCs/>
        </w:rPr>
        <w:t xml:space="preserve">2025 </w:t>
      </w:r>
      <w:r w:rsidR="007B4B75">
        <w:rPr>
          <w:bCs/>
        </w:rPr>
        <w:t>IRP.</w:t>
      </w:r>
      <w:r w:rsidR="005A7111">
        <w:rPr>
          <w:bCs/>
        </w:rPr>
        <w:t xml:space="preserve"> </w:t>
      </w:r>
      <w:r w:rsidR="4F4728B5">
        <w:t>Second</w:t>
      </w:r>
      <w:r w:rsidR="47C432ED">
        <w:t xml:space="preserve">, the Company </w:t>
      </w:r>
      <w:r w:rsidR="158A149D">
        <w:t>is investigating and considering</w:t>
      </w:r>
      <w:r w:rsidR="00404E29">
        <w:t xml:space="preserve"> </w:t>
      </w:r>
      <w:r w:rsidR="00C61539">
        <w:t>an evap</w:t>
      </w:r>
      <w:r w:rsidR="00C44445">
        <w:t>orator-only</w:t>
      </w:r>
      <w:r w:rsidR="00404E29">
        <w:t xml:space="preserve"> system that would exclude the membrane system from the previous option.</w:t>
      </w:r>
      <w:r w:rsidR="00B74D4B">
        <w:t xml:space="preserve"> Should the </w:t>
      </w:r>
      <w:r w:rsidR="00735072">
        <w:t>evaporator-only</w:t>
      </w:r>
      <w:r w:rsidR="001515C9">
        <w:t xml:space="preserve"> treatment system show appropriate </w:t>
      </w:r>
      <w:r w:rsidR="00212305">
        <w:t>technical</w:t>
      </w:r>
      <w:r w:rsidR="0DFF9FC3">
        <w:t xml:space="preserve"> </w:t>
      </w:r>
      <w:r w:rsidR="00735072">
        <w:t>viability and costs</w:t>
      </w:r>
      <w:r w:rsidR="001515C9">
        <w:t xml:space="preserve"> compared </w:t>
      </w:r>
      <w:r w:rsidR="6027C21F">
        <w:t>to</w:t>
      </w:r>
      <w:r w:rsidR="001515C9">
        <w:t xml:space="preserve"> the membrane</w:t>
      </w:r>
      <w:r w:rsidR="00497D8D">
        <w:t>-</w:t>
      </w:r>
      <w:r w:rsidR="001515C9">
        <w:t>evaporat</w:t>
      </w:r>
      <w:r w:rsidR="00E50EC1">
        <w:t>or-crystallizer system</w:t>
      </w:r>
      <w:r w:rsidR="00BB3A53">
        <w:t xml:space="preserve">, the Company will </w:t>
      </w:r>
      <w:r w:rsidR="00735072">
        <w:t>pursue</w:t>
      </w:r>
      <w:r w:rsidR="00BB3A53">
        <w:t xml:space="preserve"> the </w:t>
      </w:r>
      <w:r w:rsidR="00735072">
        <w:t>evaporator-only</w:t>
      </w:r>
      <w:r w:rsidR="00BB3A53">
        <w:t xml:space="preserve"> system.</w:t>
      </w:r>
      <w:r w:rsidR="00404E29" w:rsidRPr="00404E29">
        <w:rPr>
          <w:bCs/>
        </w:rPr>
        <w:t xml:space="preserve"> </w:t>
      </w:r>
      <w:r w:rsidR="00404E29" w:rsidRPr="00120AE3">
        <w:rPr>
          <w:bCs/>
        </w:rPr>
        <w:t xml:space="preserve">The benefits of this </w:t>
      </w:r>
      <w:r w:rsidR="00404E29">
        <w:rPr>
          <w:bCs/>
        </w:rPr>
        <w:t xml:space="preserve">dual-path evaluation </w:t>
      </w:r>
      <w:r w:rsidR="00404E29" w:rsidRPr="00120AE3">
        <w:rPr>
          <w:bCs/>
        </w:rPr>
        <w:t xml:space="preserve">include the ability to perform further </w:t>
      </w:r>
      <w:r w:rsidR="00497D8D">
        <w:rPr>
          <w:bCs/>
        </w:rPr>
        <w:t>technical feasibility analysis</w:t>
      </w:r>
      <w:r w:rsidR="00404E29" w:rsidRPr="00120AE3">
        <w:rPr>
          <w:bCs/>
        </w:rPr>
        <w:t xml:space="preserve">, </w:t>
      </w:r>
      <w:r w:rsidR="00404E29" w:rsidRPr="00611F94">
        <w:rPr>
          <w:bCs/>
        </w:rPr>
        <w:t xml:space="preserve">adjust to </w:t>
      </w:r>
      <w:r w:rsidR="00404E29" w:rsidRPr="00611F94">
        <w:t xml:space="preserve">future </w:t>
      </w:r>
      <w:r w:rsidR="00404E29" w:rsidRPr="00611F94">
        <w:rPr>
          <w:bCs/>
        </w:rPr>
        <w:t xml:space="preserve">regulatory changes, and provides the flexibility to install </w:t>
      </w:r>
      <w:r w:rsidR="00404E29">
        <w:rPr>
          <w:bCs/>
        </w:rPr>
        <w:t>the best technology for the plant-specific scrubber wastewater volumes and characteristics</w:t>
      </w:r>
      <w:r w:rsidR="00404E29">
        <w:t>.</w:t>
      </w:r>
    </w:p>
    <w:p w14:paraId="64A61E9F" w14:textId="3926E51F" w:rsidR="00BE3E3C" w:rsidRDefault="006E4E64" w:rsidP="00406690">
      <w:pPr>
        <w:rPr>
          <w:rFonts w:eastAsia="Arial" w:cs="Arial"/>
          <w:color w:val="000000" w:themeColor="text1"/>
        </w:rPr>
      </w:pPr>
      <w:r>
        <w:rPr>
          <w:bCs/>
          <w:iCs/>
        </w:rPr>
        <w:t xml:space="preserve">In addition, the </w:t>
      </w:r>
      <w:r w:rsidR="6E755D77" w:rsidRPr="39F6F4F0">
        <w:t>final rule</w:t>
      </w:r>
      <w:r>
        <w:rPr>
          <w:bCs/>
          <w:iCs/>
        </w:rPr>
        <w:t xml:space="preserve"> </w:t>
      </w:r>
      <w:r w:rsidRPr="088512A3">
        <w:t>require</w:t>
      </w:r>
      <w:r w:rsidR="7E96EA61" w:rsidRPr="088512A3">
        <w:t>s</w:t>
      </w:r>
      <w:r>
        <w:rPr>
          <w:bCs/>
          <w:iCs/>
        </w:rPr>
        <w:t xml:space="preserve"> </w:t>
      </w:r>
      <w:r w:rsidR="68C862DE" w:rsidRPr="16D099F1">
        <w:t>ZLD</w:t>
      </w:r>
      <w:r>
        <w:rPr>
          <w:bCs/>
          <w:iCs/>
        </w:rPr>
        <w:t xml:space="preserve"> of </w:t>
      </w:r>
      <w:r w:rsidR="004F2B54">
        <w:rPr>
          <w:bCs/>
          <w:iCs/>
        </w:rPr>
        <w:t>CRL</w:t>
      </w:r>
      <w:r w:rsidR="00833C71">
        <w:rPr>
          <w:bCs/>
          <w:iCs/>
        </w:rPr>
        <w:t xml:space="preserve"> at operational </w:t>
      </w:r>
      <w:r w:rsidR="008B536D">
        <w:rPr>
          <w:bCs/>
          <w:iCs/>
        </w:rPr>
        <w:t xml:space="preserve">coal-fired </w:t>
      </w:r>
      <w:r w:rsidR="00833C71">
        <w:rPr>
          <w:bCs/>
          <w:iCs/>
        </w:rPr>
        <w:t>facilities</w:t>
      </w:r>
      <w:r>
        <w:rPr>
          <w:bCs/>
          <w:iCs/>
        </w:rPr>
        <w:t xml:space="preserve">, which </w:t>
      </w:r>
      <w:r w:rsidR="00B342CF">
        <w:rPr>
          <w:bCs/>
          <w:iCs/>
        </w:rPr>
        <w:t xml:space="preserve">is significantly more stringent than the </w:t>
      </w:r>
      <w:r w:rsidR="00504E8C">
        <w:rPr>
          <w:bCs/>
          <w:iCs/>
        </w:rPr>
        <w:t>physical-chemical treatment</w:t>
      </w:r>
      <w:r w:rsidR="4126F0B3">
        <w:t>-</w:t>
      </w:r>
      <w:r w:rsidR="00504E8C">
        <w:rPr>
          <w:bCs/>
          <w:iCs/>
        </w:rPr>
        <w:t>based limits</w:t>
      </w:r>
      <w:r w:rsidR="000472CC">
        <w:rPr>
          <w:bCs/>
          <w:iCs/>
        </w:rPr>
        <w:t xml:space="preserve"> EPA </w:t>
      </w:r>
      <w:r w:rsidR="008B536D">
        <w:rPr>
          <w:bCs/>
          <w:iCs/>
        </w:rPr>
        <w:t>indicated in the proposed rule</w:t>
      </w:r>
      <w:r w:rsidR="00C80549">
        <w:rPr>
          <w:bCs/>
          <w:iCs/>
        </w:rPr>
        <w:t xml:space="preserve">. Due to this </w:t>
      </w:r>
      <w:r w:rsidR="00933DE7">
        <w:rPr>
          <w:bCs/>
          <w:iCs/>
        </w:rPr>
        <w:t>departure from what was proposed</w:t>
      </w:r>
      <w:r w:rsidR="00C80549">
        <w:rPr>
          <w:bCs/>
          <w:iCs/>
        </w:rPr>
        <w:t>,</w:t>
      </w:r>
      <w:r w:rsidR="00B342CF">
        <w:rPr>
          <w:bCs/>
          <w:iCs/>
        </w:rPr>
        <w:t xml:space="preserve"> the </w:t>
      </w:r>
      <w:r w:rsidR="00B342CF">
        <w:t xml:space="preserve">Company </w:t>
      </w:r>
      <w:r w:rsidR="0080445F">
        <w:rPr>
          <w:bCs/>
          <w:iCs/>
        </w:rPr>
        <w:t xml:space="preserve">has been limited in its ability to </w:t>
      </w:r>
      <w:r w:rsidR="004C0C7E">
        <w:rPr>
          <w:bCs/>
          <w:iCs/>
        </w:rPr>
        <w:t xml:space="preserve">analyze ZLD options for </w:t>
      </w:r>
      <w:r w:rsidR="008B536D">
        <w:rPr>
          <w:bCs/>
          <w:iCs/>
        </w:rPr>
        <w:t>CRL</w:t>
      </w:r>
      <w:r w:rsidR="004C0C7E">
        <w:rPr>
          <w:bCs/>
          <w:iCs/>
        </w:rPr>
        <w:t>. Currently, the Company</w:t>
      </w:r>
      <w:r w:rsidR="00B46B7D">
        <w:rPr>
          <w:bCs/>
          <w:iCs/>
        </w:rPr>
        <w:t>’s</w:t>
      </w:r>
      <w:r w:rsidR="004C0C7E">
        <w:rPr>
          <w:bCs/>
          <w:iCs/>
        </w:rPr>
        <w:t xml:space="preserve"> plan for l</w:t>
      </w:r>
      <w:r w:rsidR="008A4EDB">
        <w:rPr>
          <w:bCs/>
          <w:iCs/>
        </w:rPr>
        <w:t xml:space="preserve">eachate treatment </w:t>
      </w:r>
      <w:r w:rsidR="00B46B7D">
        <w:rPr>
          <w:bCs/>
          <w:iCs/>
        </w:rPr>
        <w:t>at the operational</w:t>
      </w:r>
      <w:r w:rsidR="008A4EDB">
        <w:rPr>
          <w:bCs/>
          <w:iCs/>
        </w:rPr>
        <w:t xml:space="preserve"> </w:t>
      </w:r>
      <w:r w:rsidR="00BE15AF">
        <w:rPr>
          <w:bCs/>
          <w:iCs/>
        </w:rPr>
        <w:t xml:space="preserve">coal-fired </w:t>
      </w:r>
      <w:r w:rsidR="008A4EDB">
        <w:rPr>
          <w:bCs/>
          <w:iCs/>
        </w:rPr>
        <w:t>facilities</w:t>
      </w:r>
      <w:r w:rsidR="00BE15AF">
        <w:rPr>
          <w:bCs/>
          <w:iCs/>
        </w:rPr>
        <w:t xml:space="preserve">, </w:t>
      </w:r>
      <w:r w:rsidR="00667B66">
        <w:rPr>
          <w:bCs/>
          <w:iCs/>
        </w:rPr>
        <w:t xml:space="preserve">Plant </w:t>
      </w:r>
      <w:r w:rsidR="00BE15AF">
        <w:rPr>
          <w:bCs/>
          <w:iCs/>
        </w:rPr>
        <w:t xml:space="preserve">Bowen and </w:t>
      </w:r>
      <w:r w:rsidR="00667B66">
        <w:rPr>
          <w:bCs/>
          <w:iCs/>
        </w:rPr>
        <w:t>Plant</w:t>
      </w:r>
      <w:r w:rsidR="00BE15AF">
        <w:rPr>
          <w:bCs/>
          <w:iCs/>
        </w:rPr>
        <w:t xml:space="preserve"> Scherer</w:t>
      </w:r>
      <w:r w:rsidR="00B46B7D">
        <w:rPr>
          <w:bCs/>
          <w:iCs/>
        </w:rPr>
        <w:t>,</w:t>
      </w:r>
      <w:r w:rsidR="008A4EDB">
        <w:rPr>
          <w:bCs/>
          <w:iCs/>
        </w:rPr>
        <w:t xml:space="preserve"> is based on an evaporative process and </w:t>
      </w:r>
      <w:r w:rsidR="00F235DC">
        <w:rPr>
          <w:bCs/>
          <w:iCs/>
        </w:rPr>
        <w:t xml:space="preserve">estimated </w:t>
      </w:r>
      <w:r w:rsidR="008A4EDB">
        <w:rPr>
          <w:bCs/>
          <w:iCs/>
        </w:rPr>
        <w:t xml:space="preserve">costs </w:t>
      </w:r>
      <w:r w:rsidR="00F235DC">
        <w:rPr>
          <w:bCs/>
          <w:iCs/>
        </w:rPr>
        <w:t>are only at a</w:t>
      </w:r>
      <w:r w:rsidR="008A4EDB">
        <w:rPr>
          <w:bCs/>
          <w:iCs/>
        </w:rPr>
        <w:t xml:space="preserve"> prescreening level</w:t>
      </w:r>
      <w:r w:rsidR="00CF186C">
        <w:t xml:space="preserve"> of certainty</w:t>
      </w:r>
      <w:r w:rsidR="008A4EDB">
        <w:t>.</w:t>
      </w:r>
      <w:r>
        <w:rPr>
          <w:bCs/>
          <w:iCs/>
        </w:rPr>
        <w:t xml:space="preserve"> </w:t>
      </w:r>
      <w:r w:rsidR="00833C71">
        <w:t xml:space="preserve">For facilities that have previously retired coal-fired generation, the rule </w:t>
      </w:r>
      <w:r w:rsidR="00B13E9B">
        <w:t xml:space="preserve">requires </w:t>
      </w:r>
      <w:r w:rsidR="00B13E9B" w:rsidRPr="00B13E9B">
        <w:t>the permitting authority (</w:t>
      </w:r>
      <w:r w:rsidR="0074044E">
        <w:t xml:space="preserve">Georgia </w:t>
      </w:r>
      <w:r w:rsidR="00B13E9B" w:rsidRPr="00B13E9B">
        <w:t xml:space="preserve">EPD) </w:t>
      </w:r>
      <w:r w:rsidR="00B13E9B">
        <w:t>to</w:t>
      </w:r>
      <w:r w:rsidR="00B13E9B" w:rsidRPr="00B13E9B">
        <w:t xml:space="preserve"> establish site-specific technology-based limits using </w:t>
      </w:r>
      <w:r w:rsidR="00B13E9B">
        <w:t>BPJ</w:t>
      </w:r>
      <w:r w:rsidR="008A4EDB">
        <w:t>.</w:t>
      </w:r>
      <w:r w:rsidR="00A9002A">
        <w:t xml:space="preserve"> </w:t>
      </w:r>
      <w:r w:rsidR="00B13E9B">
        <w:t>CRL</w:t>
      </w:r>
      <w:r w:rsidR="004F2B54">
        <w:t xml:space="preserve"> treatment</w:t>
      </w:r>
      <w:r w:rsidR="008A4EDB">
        <w:t xml:space="preserve"> systems</w:t>
      </w:r>
      <w:r w:rsidR="004F2B54">
        <w:t xml:space="preserve"> </w:t>
      </w:r>
      <w:r w:rsidR="00DB5490">
        <w:t>ba</w:t>
      </w:r>
      <w:r w:rsidR="008A4EDB">
        <w:t>s</w:t>
      </w:r>
      <w:r w:rsidR="00DB5490">
        <w:t xml:space="preserve">ed on physical-chemical treatment </w:t>
      </w:r>
      <w:r w:rsidR="008A4EDB">
        <w:t>are</w:t>
      </w:r>
      <w:r w:rsidR="00DB5490">
        <w:t xml:space="preserve"> assumed</w:t>
      </w:r>
      <w:r w:rsidR="008A4EDB">
        <w:t xml:space="preserve"> for CCR landfills at retired facilities</w:t>
      </w:r>
      <w:r w:rsidR="00636FBA">
        <w:t xml:space="preserve"> with costs reflected in the Company’s CCR-ARO</w:t>
      </w:r>
      <w:r w:rsidR="008A4EDB">
        <w:t>.</w:t>
      </w:r>
      <w:r w:rsidR="007C14B7">
        <w:t xml:space="preserve"> </w:t>
      </w:r>
      <w:r w:rsidR="00B46D19">
        <w:t>Similarly, f</w:t>
      </w:r>
      <w:r w:rsidR="0014498B">
        <w:t>or legacy wastewater</w:t>
      </w:r>
      <w:r w:rsidR="003D0432">
        <w:t xml:space="preserve"> produced during ash pond closure</w:t>
      </w:r>
      <w:r w:rsidR="00A14043">
        <w:t xml:space="preserve"> activities</w:t>
      </w:r>
      <w:r w:rsidR="0014498B">
        <w:t xml:space="preserve">, </w:t>
      </w:r>
      <w:r w:rsidR="00D25896">
        <w:rPr>
          <w:lang w:val="en"/>
        </w:rPr>
        <w:t>t</w:t>
      </w:r>
      <w:r w:rsidR="00D25896" w:rsidRPr="003D640E">
        <w:rPr>
          <w:lang w:val="en"/>
        </w:rPr>
        <w:t xml:space="preserve">he Company’s </w:t>
      </w:r>
      <w:r w:rsidR="003D0432">
        <w:rPr>
          <w:lang w:val="en"/>
        </w:rPr>
        <w:t xml:space="preserve">plans </w:t>
      </w:r>
      <w:r w:rsidR="00D25896">
        <w:rPr>
          <w:lang w:val="en"/>
        </w:rPr>
        <w:t xml:space="preserve">already </w:t>
      </w:r>
      <w:r w:rsidR="003D0432">
        <w:rPr>
          <w:lang w:val="en"/>
        </w:rPr>
        <w:t xml:space="preserve">include </w:t>
      </w:r>
      <w:r w:rsidR="00D25896" w:rsidRPr="003D640E">
        <w:rPr>
          <w:lang w:val="en"/>
        </w:rPr>
        <w:t xml:space="preserve">treating all contact water </w:t>
      </w:r>
      <w:r w:rsidR="00D25896">
        <w:rPr>
          <w:lang w:val="en"/>
        </w:rPr>
        <w:t xml:space="preserve">under </w:t>
      </w:r>
      <w:r w:rsidR="00D25896" w:rsidRPr="003D640E">
        <w:rPr>
          <w:lang w:val="en"/>
        </w:rPr>
        <w:t>dewatering plans approved by the EPD,</w:t>
      </w:r>
      <w:r w:rsidR="00D25896">
        <w:rPr>
          <w:lang w:val="en"/>
        </w:rPr>
        <w:t xml:space="preserve"> as discussed further in Section 2.2</w:t>
      </w:r>
      <w:r w:rsidR="00B46D19">
        <w:rPr>
          <w:lang w:val="en"/>
        </w:rPr>
        <w:t>.</w:t>
      </w:r>
      <w:r w:rsidR="00023DA1">
        <w:rPr>
          <w:lang w:val="en"/>
        </w:rPr>
        <w:t xml:space="preserve"> </w:t>
      </w:r>
      <w:r w:rsidR="00B46D19">
        <w:rPr>
          <w:lang w:val="en"/>
        </w:rPr>
        <w:t>The</w:t>
      </w:r>
      <w:r w:rsidR="00883594">
        <w:rPr>
          <w:lang w:val="en"/>
        </w:rPr>
        <w:t xml:space="preserve"> </w:t>
      </w:r>
      <w:r w:rsidR="0042305E">
        <w:rPr>
          <w:lang w:val="en"/>
        </w:rPr>
        <w:t>Supplemental</w:t>
      </w:r>
      <w:r w:rsidR="00883594">
        <w:rPr>
          <w:lang w:val="en"/>
        </w:rPr>
        <w:t xml:space="preserve"> ELG Rule’s requirement for </w:t>
      </w:r>
      <w:r w:rsidR="00023DA1">
        <w:t xml:space="preserve">case-by-case technology-based effluent limitations </w:t>
      </w:r>
      <w:r w:rsidR="00023DA1" w:rsidRPr="005F17D8">
        <w:t>established by the permitting authority</w:t>
      </w:r>
      <w:r w:rsidR="00883594" w:rsidRPr="005F17D8">
        <w:t xml:space="preserve"> require</w:t>
      </w:r>
      <w:r w:rsidR="005F42F6">
        <w:t xml:space="preserve">s </w:t>
      </w:r>
      <w:r w:rsidR="0055461C">
        <w:t>further</w:t>
      </w:r>
      <w:r w:rsidR="003D0432" w:rsidRPr="005F17D8">
        <w:t xml:space="preserve"> review </w:t>
      </w:r>
      <w:r w:rsidR="002C5B34" w:rsidRPr="005F17D8">
        <w:t xml:space="preserve">and </w:t>
      </w:r>
      <w:r w:rsidR="007A737F">
        <w:t xml:space="preserve">potential </w:t>
      </w:r>
      <w:r w:rsidR="002C5B34" w:rsidRPr="005F17D8">
        <w:t xml:space="preserve">permitting </w:t>
      </w:r>
      <w:r w:rsidR="007A737F">
        <w:t>actions</w:t>
      </w:r>
      <w:r w:rsidR="003A611C">
        <w:rPr>
          <w:rFonts w:eastAsia="Arial" w:cs="Arial"/>
          <w:color w:val="000000" w:themeColor="text1"/>
        </w:rPr>
        <w:t xml:space="preserve">. </w:t>
      </w:r>
      <w:r w:rsidR="007A737F">
        <w:rPr>
          <w:rFonts w:eastAsia="Arial" w:cs="Arial"/>
          <w:color w:val="000000" w:themeColor="text1"/>
        </w:rPr>
        <w:t>However,</w:t>
      </w:r>
      <w:r w:rsidR="00B46D19">
        <w:rPr>
          <w:rFonts w:eastAsia="Arial" w:cs="Arial"/>
          <w:color w:val="000000" w:themeColor="text1"/>
        </w:rPr>
        <w:t xml:space="preserve"> the existing </w:t>
      </w:r>
      <w:r w:rsidR="007A737F">
        <w:rPr>
          <w:rFonts w:eastAsia="Arial" w:cs="Arial"/>
          <w:color w:val="000000" w:themeColor="text1"/>
        </w:rPr>
        <w:t xml:space="preserve">treatment </w:t>
      </w:r>
      <w:r w:rsidR="00B46D19">
        <w:rPr>
          <w:rFonts w:eastAsia="Arial" w:cs="Arial"/>
          <w:color w:val="000000" w:themeColor="text1"/>
        </w:rPr>
        <w:t xml:space="preserve">technology assumptions </w:t>
      </w:r>
      <w:r w:rsidR="007A737F">
        <w:rPr>
          <w:rFonts w:eastAsia="Arial" w:cs="Arial"/>
          <w:color w:val="000000" w:themeColor="text1"/>
        </w:rPr>
        <w:t xml:space="preserve">and associated costs are being </w:t>
      </w:r>
      <w:r w:rsidR="007A737F" w:rsidRPr="65461CE6">
        <w:rPr>
          <w:rFonts w:eastAsia="Arial" w:cs="Arial"/>
          <w:color w:val="000000" w:themeColor="text1"/>
        </w:rPr>
        <w:t>mainta</w:t>
      </w:r>
      <w:r w:rsidR="4CBBE757" w:rsidRPr="65461CE6">
        <w:rPr>
          <w:rFonts w:eastAsia="Arial" w:cs="Arial"/>
          <w:color w:val="000000" w:themeColor="text1"/>
        </w:rPr>
        <w:t>i</w:t>
      </w:r>
      <w:r w:rsidR="007A737F" w:rsidRPr="65461CE6">
        <w:rPr>
          <w:rFonts w:eastAsia="Arial" w:cs="Arial"/>
          <w:color w:val="000000" w:themeColor="text1"/>
        </w:rPr>
        <w:t>n</w:t>
      </w:r>
      <w:r w:rsidR="00650F4B" w:rsidRPr="65461CE6">
        <w:rPr>
          <w:rFonts w:eastAsia="Arial" w:cs="Arial"/>
          <w:color w:val="000000" w:themeColor="text1"/>
        </w:rPr>
        <w:t>e</w:t>
      </w:r>
      <w:r w:rsidR="007A737F" w:rsidRPr="65461CE6">
        <w:rPr>
          <w:rFonts w:eastAsia="Arial" w:cs="Arial"/>
          <w:color w:val="000000" w:themeColor="text1"/>
        </w:rPr>
        <w:t>d</w:t>
      </w:r>
      <w:r w:rsidR="007A737F">
        <w:rPr>
          <w:rFonts w:eastAsia="Arial" w:cs="Arial"/>
          <w:color w:val="000000" w:themeColor="text1"/>
        </w:rPr>
        <w:t xml:space="preserve"> for planning purposes.</w:t>
      </w:r>
      <w:r w:rsidR="007C14B7">
        <w:rPr>
          <w:rFonts w:eastAsia="Arial" w:cs="Arial"/>
          <w:color w:val="000000" w:themeColor="text1"/>
        </w:rPr>
        <w:t xml:space="preserve"> </w:t>
      </w:r>
    </w:p>
    <w:p w14:paraId="17FC38B0" w14:textId="0A6C7896" w:rsidR="00372BBB" w:rsidRPr="000216F6" w:rsidRDefault="002E09E9" w:rsidP="009A4A30">
      <w:r w:rsidRPr="00EA665A">
        <w:t xml:space="preserve">As </w:t>
      </w:r>
      <w:r w:rsidR="00331F6E" w:rsidRPr="00EA665A">
        <w:t xml:space="preserve">noted </w:t>
      </w:r>
      <w:r w:rsidRPr="00EA665A">
        <w:t xml:space="preserve">with other regulations in this ECS, the Supplemental </w:t>
      </w:r>
      <w:r w:rsidR="00704E27" w:rsidRPr="00EA665A">
        <w:t>ELG</w:t>
      </w:r>
      <w:r w:rsidRPr="00EA665A">
        <w:t xml:space="preserve"> Rule </w:t>
      </w:r>
      <w:r w:rsidR="00312DAC" w:rsidRPr="00EA665A">
        <w:t>is currently in active litigation with opening briefs filed in November 2024.</w:t>
      </w:r>
      <w:r w:rsidR="007C14B7" w:rsidRPr="00EA665A">
        <w:t xml:space="preserve"> </w:t>
      </w:r>
      <w:r w:rsidR="004F1AE2" w:rsidRPr="00EA665A">
        <w:t xml:space="preserve">The </w:t>
      </w:r>
      <w:proofErr w:type="gramStart"/>
      <w:r w:rsidR="004F1AE2" w:rsidRPr="00EA665A">
        <w:t>final outcome</w:t>
      </w:r>
      <w:proofErr w:type="gramEnd"/>
      <w:r w:rsidR="004F1AE2" w:rsidRPr="00EA665A">
        <w:t xml:space="preserve"> of the case is still pending</w:t>
      </w:r>
      <w:r w:rsidR="3C5DDC92" w:rsidRPr="00EA665A">
        <w:t>, meaning the Company must continue its plan to achieve compliance with the ELG Supplemental Rule</w:t>
      </w:r>
      <w:r w:rsidR="004F1AE2" w:rsidRPr="00EA665A">
        <w:t xml:space="preserve"> while staying </w:t>
      </w:r>
      <w:r w:rsidR="00517708">
        <w:t xml:space="preserve">on track to complete </w:t>
      </w:r>
      <w:r w:rsidR="00E85202">
        <w:t>systems to meet the 2025 and 2028 deadlines of the 2020 Reconsideration Rule, and</w:t>
      </w:r>
      <w:r w:rsidR="004F1AE2" w:rsidRPr="00EA665A">
        <w:t xml:space="preserve"> </w:t>
      </w:r>
      <w:r w:rsidR="00E85202">
        <w:t>stay</w:t>
      </w:r>
      <w:r w:rsidR="00E85202" w:rsidRPr="00EA665A">
        <w:t xml:space="preserve"> </w:t>
      </w:r>
      <w:r w:rsidR="004F1AE2" w:rsidRPr="00EA665A">
        <w:t xml:space="preserve">flexible for various </w:t>
      </w:r>
      <w:r w:rsidR="00E85202">
        <w:t>legal outcomes</w:t>
      </w:r>
      <w:r w:rsidR="004F1AE2" w:rsidRPr="00EA665A">
        <w:t xml:space="preserve">, including the suspension of some or all </w:t>
      </w:r>
      <w:r w:rsidR="00E85202">
        <w:t>ELG Supplemental</w:t>
      </w:r>
      <w:r w:rsidR="004F1AE2" w:rsidRPr="00EA665A">
        <w:t xml:space="preserve"> rule requirements. The Company will continue to assess compliance obligations</w:t>
      </w:r>
      <w:r w:rsidR="00E85202">
        <w:t xml:space="preserve"> as these progress</w:t>
      </w:r>
      <w:r w:rsidR="00C21DA5" w:rsidRPr="00EA665A">
        <w:t>.</w:t>
      </w:r>
      <w:r w:rsidR="004F1AE2" w:rsidRPr="00EA665A">
        <w:t xml:space="preserve"> </w:t>
      </w:r>
    </w:p>
    <w:p w14:paraId="1632CABC" w14:textId="5B6CB8BD" w:rsidR="009210F1" w:rsidRPr="004E32D7" w:rsidRDefault="003E0E61" w:rsidP="00FE7864">
      <w:pPr>
        <w:pStyle w:val="Heading2"/>
      </w:pPr>
      <w:bookmarkStart w:id="30" w:name="_Toc117253469"/>
      <w:bookmarkStart w:id="31" w:name="_Toc188252320"/>
      <w:r w:rsidRPr="004E32D7">
        <w:rPr>
          <w:rFonts w:hint="eastAsia"/>
        </w:rPr>
        <w:t>2.</w:t>
      </w:r>
      <w:r w:rsidR="00491B92" w:rsidRPr="004E32D7">
        <w:rPr>
          <w:rFonts w:hint="eastAsia"/>
        </w:rPr>
        <w:t>2</w:t>
      </w:r>
      <w:r w:rsidR="009210F1" w:rsidRPr="004E32D7">
        <w:rPr>
          <w:rFonts w:hint="eastAsia"/>
        </w:rPr>
        <w:t xml:space="preserve"> </w:t>
      </w:r>
      <w:r w:rsidR="00EA7F30" w:rsidRPr="004E32D7">
        <w:rPr>
          <w:rFonts w:hint="eastAsia"/>
        </w:rPr>
        <w:t>Coal Combustion Residuals</w:t>
      </w:r>
      <w:r w:rsidR="004A7903" w:rsidRPr="004E32D7">
        <w:rPr>
          <w:rFonts w:hint="eastAsia"/>
        </w:rPr>
        <w:t xml:space="preserve"> Regulatory and Strategy Updates</w:t>
      </w:r>
      <w:bookmarkEnd w:id="30"/>
      <w:bookmarkEnd w:id="31"/>
    </w:p>
    <w:p w14:paraId="5A9403EC" w14:textId="3DDE2664" w:rsidR="00A80E04" w:rsidRDefault="0051590D" w:rsidP="0053159C">
      <w:pPr>
        <w:rPr>
          <w:b/>
          <w:bCs/>
          <w:smallCaps/>
        </w:rPr>
      </w:pPr>
      <w:bookmarkStart w:id="32" w:name="_Toc117253471"/>
      <w:r w:rsidRPr="00DB7156">
        <w:t xml:space="preserve">The </w:t>
      </w:r>
      <w:r w:rsidR="002F64CB">
        <w:t>CCR</w:t>
      </w:r>
      <w:r w:rsidRPr="00DB7156">
        <w:t xml:space="preserve"> </w:t>
      </w:r>
      <w:r w:rsidR="00B11818">
        <w:t>ECS</w:t>
      </w:r>
      <w:r w:rsidRPr="00DB7156">
        <w:t xml:space="preserve"> </w:t>
      </w:r>
      <w:r w:rsidR="00A2568C">
        <w:t xml:space="preserve">(as approved in the </w:t>
      </w:r>
      <w:r w:rsidR="00F25E6A">
        <w:t xml:space="preserve">2019 and </w:t>
      </w:r>
      <w:r w:rsidR="00A2568C">
        <w:t>2022 IRP</w:t>
      </w:r>
      <w:r w:rsidR="00F25E6A">
        <w:t xml:space="preserve"> proceedings,</w:t>
      </w:r>
      <w:r w:rsidR="00A2568C">
        <w:t xml:space="preserve"> </w:t>
      </w:r>
      <w:r w:rsidR="009D0766" w:rsidRPr="00505A21">
        <w:t>Docket No</w:t>
      </w:r>
      <w:r w:rsidR="00054989">
        <w:t>s</w:t>
      </w:r>
      <w:r w:rsidR="009D0766" w:rsidRPr="00505A21">
        <w:t>. 42310</w:t>
      </w:r>
      <w:r w:rsidR="009D0766">
        <w:t xml:space="preserve"> </w:t>
      </w:r>
      <w:r w:rsidR="009D0766" w:rsidRPr="00505A21">
        <w:t>and 44160, respectively</w:t>
      </w:r>
      <w:r w:rsidR="00A2568C">
        <w:t xml:space="preserve">) </w:t>
      </w:r>
      <w:r w:rsidR="00A00229">
        <w:t xml:space="preserve">focuses on </w:t>
      </w:r>
      <w:r w:rsidR="00A048DE">
        <w:t xml:space="preserve">federal and state </w:t>
      </w:r>
      <w:r w:rsidRPr="00DB7156">
        <w:t xml:space="preserve">regulations related </w:t>
      </w:r>
      <w:r w:rsidR="00192D04">
        <w:t xml:space="preserve">to </w:t>
      </w:r>
      <w:r w:rsidR="00A00229">
        <w:t>ash pond closure</w:t>
      </w:r>
      <w:r w:rsidR="00192D04">
        <w:t>s</w:t>
      </w:r>
      <w:r w:rsidR="00A00229">
        <w:t xml:space="preserve"> and </w:t>
      </w:r>
      <w:r w:rsidR="00945953">
        <w:t xml:space="preserve">CCR </w:t>
      </w:r>
      <w:r w:rsidR="004D2489">
        <w:t>management</w:t>
      </w:r>
      <w:r w:rsidR="00915D34">
        <w:t>, as</w:t>
      </w:r>
      <w:r>
        <w:t xml:space="preserve"> summarized in</w:t>
      </w:r>
      <w:r w:rsidR="00AF3FFA">
        <w:t xml:space="preserve"> </w:t>
      </w:r>
      <w:r w:rsidR="00AF3FFA" w:rsidRPr="00AF3FFA">
        <w:rPr>
          <w:b/>
          <w:bCs/>
        </w:rPr>
        <w:t>Table 4</w:t>
      </w:r>
      <w:r w:rsidR="00AF3FFA">
        <w:t>.</w:t>
      </w:r>
      <w:r>
        <w:t xml:space="preserve"> </w:t>
      </w:r>
      <w:r w:rsidR="00C81481" w:rsidRPr="00C81481">
        <w:t xml:space="preserve">Per the 2022 IRP Final Order, any determination by the EPD causing a change in closure strategy for ash ponds closing in place requires the Company to notify the </w:t>
      </w:r>
      <w:r w:rsidR="00CA7DA8">
        <w:t>G</w:t>
      </w:r>
      <w:r w:rsidR="00C81481" w:rsidRPr="00C81481">
        <w:t>PSC within 30 days of such determination.</w:t>
      </w:r>
      <w:r w:rsidR="00C81481">
        <w:t xml:space="preserve"> </w:t>
      </w:r>
      <w:r>
        <w:t xml:space="preserve">The areas of legislation, regulation, permitting, or other actions that set or are anticipated to set critical </w:t>
      </w:r>
      <w:r w:rsidR="00844AAE">
        <w:t>CCR</w:t>
      </w:r>
      <w:r>
        <w:t xml:space="preserve"> compliance requirements are </w:t>
      </w:r>
      <w:r w:rsidRPr="00DB7156">
        <w:t>discussed below.</w:t>
      </w:r>
      <w:bookmarkStart w:id="33" w:name="_Ref129869754"/>
      <w:bookmarkStart w:id="34" w:name="_Ref129869748"/>
    </w:p>
    <w:p w14:paraId="59C39BA5" w14:textId="5EE8C944" w:rsidR="00092AB2" w:rsidRPr="009944A6" w:rsidRDefault="00092AB2" w:rsidP="003115A9">
      <w:pPr>
        <w:keepNext/>
        <w:keepLines/>
        <w:spacing w:after="0" w:line="276" w:lineRule="auto"/>
        <w:jc w:val="center"/>
        <w:rPr>
          <w:rFonts w:cs="Arial"/>
          <w:b/>
          <w:color w:val="171717" w:themeColor="background2" w:themeShade="1A"/>
          <w:sz w:val="20"/>
          <w:szCs w:val="20"/>
        </w:rPr>
      </w:pPr>
      <w:r w:rsidRPr="009944A6">
        <w:rPr>
          <w:rFonts w:cs="Arial"/>
          <w:b/>
          <w:color w:val="171717" w:themeColor="background2" w:themeShade="1A"/>
          <w:sz w:val="20"/>
          <w:szCs w:val="20"/>
        </w:rPr>
        <w:lastRenderedPageBreak/>
        <w:t xml:space="preserve">Table </w:t>
      </w:r>
      <w:r w:rsidR="003F3BBD">
        <w:rPr>
          <w:rFonts w:cs="Arial"/>
          <w:b/>
          <w:color w:val="171717" w:themeColor="background2" w:themeShade="1A"/>
          <w:sz w:val="20"/>
          <w:szCs w:val="20"/>
        </w:rPr>
        <w:t>4</w:t>
      </w:r>
      <w:r w:rsidR="00E33967">
        <w:rPr>
          <w:rFonts w:cs="Arial"/>
          <w:b/>
          <w:color w:val="171717" w:themeColor="background2" w:themeShade="1A"/>
          <w:sz w:val="20"/>
          <w:szCs w:val="20"/>
        </w:rPr>
        <w:t>.</w:t>
      </w:r>
      <w:r w:rsidR="003F3BBD">
        <w:rPr>
          <w:rFonts w:cs="Arial"/>
          <w:b/>
          <w:color w:val="171717" w:themeColor="background2" w:themeShade="1A"/>
          <w:sz w:val="20"/>
          <w:szCs w:val="20"/>
        </w:rPr>
        <w:t xml:space="preserve"> Georgia Power’s Ash Ponds and Existing CCR Landfills</w:t>
      </w:r>
    </w:p>
    <w:bookmarkEnd w:id="33"/>
    <w:bookmarkEnd w:id="34"/>
    <w:tbl>
      <w:tblPr>
        <w:tblW w:w="7831" w:type="dxa"/>
        <w:jc w:val="center"/>
        <w:tblCellMar>
          <w:left w:w="0" w:type="dxa"/>
          <w:right w:w="0" w:type="dxa"/>
        </w:tblCellMar>
        <w:tblLook w:val="0420" w:firstRow="1" w:lastRow="0" w:firstColumn="0" w:lastColumn="0" w:noHBand="0" w:noVBand="1"/>
      </w:tblPr>
      <w:tblGrid>
        <w:gridCol w:w="2340"/>
        <w:gridCol w:w="1379"/>
        <w:gridCol w:w="1557"/>
        <w:gridCol w:w="1186"/>
        <w:gridCol w:w="1369"/>
      </w:tblGrid>
      <w:tr w:rsidR="00BD7424" w:rsidRPr="00C46CCC" w14:paraId="2FD13389" w14:textId="4E58D4A6" w:rsidTr="00BD7424">
        <w:trPr>
          <w:trHeight w:hRule="exact" w:val="288"/>
          <w:jc w:val="center"/>
        </w:trPr>
        <w:tc>
          <w:tcPr>
            <w:tcW w:w="2340" w:type="dxa"/>
            <w:tcBorders>
              <w:top w:val="single" w:sz="4" w:space="0" w:color="auto"/>
              <w:left w:val="single" w:sz="4" w:space="0" w:color="auto"/>
              <w:right w:val="single" w:sz="12" w:space="0" w:color="FFFFFF" w:themeColor="background1"/>
            </w:tcBorders>
            <w:shd w:val="clear" w:color="auto" w:fill="2F5496" w:themeFill="accent1" w:themeFillShade="BF"/>
            <w:tcMar>
              <w:top w:w="40" w:type="dxa"/>
              <w:left w:w="81" w:type="dxa"/>
              <w:bottom w:w="40" w:type="dxa"/>
              <w:right w:w="81" w:type="dxa"/>
            </w:tcMar>
          </w:tcPr>
          <w:p w14:paraId="40941CA8" w14:textId="77777777" w:rsidR="00BD7424" w:rsidRPr="00C46CCC" w:rsidRDefault="00BD7424" w:rsidP="008A77DD">
            <w:pPr>
              <w:keepNext/>
              <w:keepLines/>
              <w:spacing w:before="0" w:after="0" w:line="240" w:lineRule="auto"/>
              <w:ind w:left="360"/>
              <w:rPr>
                <w:color w:val="000000"/>
                <w:sz w:val="20"/>
                <w:szCs w:val="20"/>
              </w:rPr>
            </w:pPr>
          </w:p>
        </w:tc>
        <w:tc>
          <w:tcPr>
            <w:tcW w:w="4122" w:type="dxa"/>
            <w:gridSpan w:val="3"/>
            <w:tcBorders>
              <w:top w:val="single" w:sz="4" w:space="0" w:color="auto"/>
              <w:left w:val="single" w:sz="12" w:space="0" w:color="FFFFFF" w:themeColor="background1"/>
              <w:bottom w:val="single" w:sz="12" w:space="0" w:color="FFFFFF" w:themeColor="background1"/>
              <w:right w:val="single" w:sz="8" w:space="0" w:color="FFFFFF" w:themeColor="background1"/>
            </w:tcBorders>
            <w:shd w:val="clear" w:color="auto" w:fill="2F5496" w:themeFill="accent1" w:themeFillShade="BF"/>
            <w:tcMar>
              <w:top w:w="15" w:type="dxa"/>
              <w:left w:w="43" w:type="dxa"/>
              <w:bottom w:w="22" w:type="dxa"/>
              <w:right w:w="43" w:type="dxa"/>
            </w:tcMar>
          </w:tcPr>
          <w:p w14:paraId="0D1C418F" w14:textId="77777777" w:rsidR="00BD7424" w:rsidRPr="00C46CCC" w:rsidRDefault="00BD7424" w:rsidP="008A77DD">
            <w:pPr>
              <w:keepNext/>
              <w:keepLines/>
              <w:spacing w:before="0" w:after="0" w:line="240" w:lineRule="auto"/>
              <w:jc w:val="center"/>
              <w:rPr>
                <w:b/>
                <w:color w:val="FFFFFF" w:themeColor="background1"/>
                <w:sz w:val="20"/>
                <w:szCs w:val="20"/>
              </w:rPr>
            </w:pPr>
            <w:r w:rsidRPr="00C46CCC">
              <w:rPr>
                <w:b/>
                <w:color w:val="FFFFFF" w:themeColor="background1"/>
                <w:sz w:val="20"/>
                <w:szCs w:val="20"/>
              </w:rPr>
              <w:t>Ash Pond Closure Method</w:t>
            </w:r>
          </w:p>
        </w:tc>
        <w:tc>
          <w:tcPr>
            <w:tcW w:w="1369" w:type="dxa"/>
            <w:vMerge w:val="restart"/>
            <w:tcBorders>
              <w:top w:val="single" w:sz="4" w:space="0" w:color="auto"/>
              <w:left w:val="single" w:sz="8" w:space="0" w:color="FFFFFF" w:themeColor="background1"/>
              <w:right w:val="single" w:sz="4" w:space="0" w:color="auto"/>
            </w:tcBorders>
            <w:shd w:val="clear" w:color="auto" w:fill="2F5496" w:themeFill="accent1" w:themeFillShade="BF"/>
          </w:tcPr>
          <w:p w14:paraId="100BCD57" w14:textId="77777777" w:rsidR="00BD7424" w:rsidRPr="00C46CCC" w:rsidRDefault="00BD7424" w:rsidP="008A77DD">
            <w:pPr>
              <w:keepNext/>
              <w:keepLines/>
              <w:spacing w:before="0" w:after="0" w:line="240" w:lineRule="auto"/>
              <w:jc w:val="center"/>
              <w:rPr>
                <w:b/>
                <w:color w:val="FFFFFF" w:themeColor="background1"/>
                <w:sz w:val="20"/>
                <w:szCs w:val="20"/>
              </w:rPr>
            </w:pPr>
            <w:r w:rsidRPr="00C46CCC">
              <w:rPr>
                <w:b/>
                <w:color w:val="FFFFFF" w:themeColor="background1"/>
                <w:sz w:val="20"/>
                <w:szCs w:val="20"/>
              </w:rPr>
              <w:t>Existing CCR Landfills</w:t>
            </w:r>
          </w:p>
        </w:tc>
      </w:tr>
      <w:tr w:rsidR="00BD7424" w:rsidRPr="00C46CCC" w14:paraId="2BE6AED4" w14:textId="2440DB18" w:rsidTr="00DA77CB">
        <w:trPr>
          <w:trHeight w:hRule="exact" w:val="612"/>
          <w:jc w:val="center"/>
        </w:trPr>
        <w:tc>
          <w:tcPr>
            <w:tcW w:w="2340" w:type="dxa"/>
            <w:tcBorders>
              <w:left w:val="single" w:sz="4" w:space="0" w:color="auto"/>
            </w:tcBorders>
            <w:shd w:val="clear" w:color="auto" w:fill="2F5496" w:themeFill="accent1" w:themeFillShade="BF"/>
            <w:tcMar>
              <w:top w:w="40" w:type="dxa"/>
              <w:left w:w="81" w:type="dxa"/>
              <w:bottom w:w="40" w:type="dxa"/>
              <w:right w:w="81" w:type="dxa"/>
            </w:tcMar>
            <w:hideMark/>
          </w:tcPr>
          <w:p w14:paraId="07B2D9B4" w14:textId="77777777" w:rsidR="00BD7424" w:rsidRPr="00C46CCC" w:rsidRDefault="00BD7424" w:rsidP="008A77DD">
            <w:pPr>
              <w:keepNext/>
              <w:keepLines/>
              <w:spacing w:before="0" w:after="0" w:line="240" w:lineRule="auto"/>
              <w:ind w:left="360"/>
              <w:rPr>
                <w:color w:val="000000"/>
                <w:sz w:val="20"/>
                <w:szCs w:val="20"/>
              </w:rPr>
            </w:pPr>
          </w:p>
        </w:tc>
        <w:tc>
          <w:tcPr>
            <w:tcW w:w="137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tcMar>
              <w:top w:w="15" w:type="dxa"/>
              <w:left w:w="43" w:type="dxa"/>
              <w:bottom w:w="22" w:type="dxa"/>
              <w:right w:w="43" w:type="dxa"/>
            </w:tcMar>
            <w:hideMark/>
          </w:tcPr>
          <w:p w14:paraId="73567414" w14:textId="77777777" w:rsidR="00BD7424" w:rsidRPr="00C46CCC" w:rsidRDefault="00BD7424" w:rsidP="008A77DD">
            <w:pPr>
              <w:keepNext/>
              <w:keepLines/>
              <w:spacing w:before="0" w:after="0" w:line="240" w:lineRule="auto"/>
              <w:ind w:left="26"/>
              <w:jc w:val="center"/>
              <w:rPr>
                <w:color w:val="FFFFFF" w:themeColor="background1"/>
                <w:sz w:val="20"/>
                <w:szCs w:val="20"/>
              </w:rPr>
            </w:pPr>
            <w:r w:rsidRPr="00C46CCC">
              <w:rPr>
                <w:b/>
                <w:color w:val="FFFFFF" w:themeColor="background1"/>
                <w:sz w:val="20"/>
                <w:szCs w:val="20"/>
              </w:rPr>
              <w:t>Closure by Removal</w:t>
            </w:r>
          </w:p>
        </w:tc>
        <w:tc>
          <w:tcPr>
            <w:tcW w:w="155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tcMar>
              <w:top w:w="15" w:type="dxa"/>
              <w:left w:w="43" w:type="dxa"/>
              <w:bottom w:w="22" w:type="dxa"/>
              <w:right w:w="43" w:type="dxa"/>
            </w:tcMar>
            <w:hideMark/>
          </w:tcPr>
          <w:p w14:paraId="1C159F54" w14:textId="77777777" w:rsidR="00BD7424" w:rsidRDefault="00BD7424" w:rsidP="008A77DD">
            <w:pPr>
              <w:keepNext/>
              <w:keepLines/>
              <w:spacing w:before="0" w:after="0" w:line="240" w:lineRule="auto"/>
              <w:ind w:left="83"/>
              <w:jc w:val="center"/>
              <w:rPr>
                <w:b/>
                <w:color w:val="FFFFFF" w:themeColor="background1"/>
                <w:sz w:val="20"/>
                <w:szCs w:val="20"/>
              </w:rPr>
            </w:pPr>
            <w:r w:rsidRPr="00C46CCC">
              <w:rPr>
                <w:b/>
                <w:color w:val="FFFFFF" w:themeColor="background1"/>
                <w:sz w:val="20"/>
                <w:szCs w:val="20"/>
              </w:rPr>
              <w:t xml:space="preserve">Closure in </w:t>
            </w:r>
          </w:p>
          <w:p w14:paraId="56B00B1D" w14:textId="340E1A59" w:rsidR="00BD7424" w:rsidRPr="00C46CCC" w:rsidRDefault="00BD7424" w:rsidP="008A77DD">
            <w:pPr>
              <w:keepNext/>
              <w:keepLines/>
              <w:spacing w:before="0" w:after="0" w:line="240" w:lineRule="auto"/>
              <w:ind w:left="83"/>
              <w:jc w:val="center"/>
              <w:rPr>
                <w:color w:val="FFFFFF" w:themeColor="background1"/>
                <w:sz w:val="20"/>
                <w:szCs w:val="20"/>
              </w:rPr>
            </w:pPr>
            <w:r w:rsidRPr="00C46CCC">
              <w:rPr>
                <w:b/>
                <w:color w:val="FFFFFF" w:themeColor="background1"/>
                <w:sz w:val="20"/>
                <w:szCs w:val="20"/>
              </w:rPr>
              <w:t>Place</w:t>
            </w:r>
          </w:p>
        </w:tc>
        <w:tc>
          <w:tcPr>
            <w:tcW w:w="1186" w:type="dxa"/>
            <w:tcBorders>
              <w:top w:val="single" w:sz="12" w:space="0" w:color="FFFFFF" w:themeColor="background1"/>
              <w:left w:val="single" w:sz="12" w:space="0" w:color="FFFFFF" w:themeColor="background1"/>
              <w:bottom w:val="single" w:sz="12" w:space="0" w:color="FFFFFF" w:themeColor="background1"/>
              <w:right w:val="single" w:sz="8" w:space="0" w:color="FFFFFF" w:themeColor="background1"/>
            </w:tcBorders>
            <w:shd w:val="clear" w:color="auto" w:fill="2F5496" w:themeFill="accent1" w:themeFillShade="BF"/>
            <w:tcMar>
              <w:top w:w="15" w:type="dxa"/>
              <w:left w:w="43" w:type="dxa"/>
              <w:bottom w:w="22" w:type="dxa"/>
              <w:right w:w="43" w:type="dxa"/>
            </w:tcMar>
            <w:hideMark/>
          </w:tcPr>
          <w:p w14:paraId="3AA74E72" w14:textId="77777777" w:rsidR="00BD7424" w:rsidRPr="00C46CCC" w:rsidRDefault="00BD7424" w:rsidP="008A77DD">
            <w:pPr>
              <w:keepNext/>
              <w:keepLines/>
              <w:spacing w:before="0" w:after="0" w:line="240" w:lineRule="auto"/>
              <w:jc w:val="center"/>
              <w:rPr>
                <w:color w:val="FFFFFF" w:themeColor="background1"/>
                <w:sz w:val="20"/>
                <w:szCs w:val="20"/>
              </w:rPr>
            </w:pPr>
            <w:r w:rsidRPr="00C46CCC">
              <w:rPr>
                <w:b/>
                <w:color w:val="FFFFFF" w:themeColor="background1"/>
                <w:sz w:val="20"/>
                <w:szCs w:val="20"/>
              </w:rPr>
              <w:t>Total</w:t>
            </w:r>
          </w:p>
        </w:tc>
        <w:tc>
          <w:tcPr>
            <w:tcW w:w="1369" w:type="dxa"/>
            <w:vMerge/>
            <w:tcBorders>
              <w:right w:val="single" w:sz="4" w:space="0" w:color="auto"/>
            </w:tcBorders>
          </w:tcPr>
          <w:p w14:paraId="3F794F5E" w14:textId="77777777" w:rsidR="00BD7424" w:rsidRPr="00C46CCC" w:rsidRDefault="00BD7424" w:rsidP="008A77DD">
            <w:pPr>
              <w:keepNext/>
              <w:keepLines/>
              <w:spacing w:before="0" w:after="0" w:line="240" w:lineRule="auto"/>
              <w:jc w:val="center"/>
              <w:rPr>
                <w:b/>
                <w:color w:val="FFFFFF" w:themeColor="background1"/>
                <w:sz w:val="20"/>
                <w:szCs w:val="20"/>
              </w:rPr>
            </w:pPr>
          </w:p>
        </w:tc>
      </w:tr>
      <w:tr w:rsidR="00BD7424" w:rsidRPr="00C46CCC" w14:paraId="1A061B5C" w14:textId="19295091" w:rsidTr="00BD7424">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tcPr>
          <w:p w14:paraId="4BCDC126" w14:textId="248B0A93" w:rsidR="00BD7424" w:rsidRPr="00C46CCC" w:rsidRDefault="00BD7424" w:rsidP="008A77DD">
            <w:pPr>
              <w:keepNext/>
              <w:keepLines/>
              <w:spacing w:before="0" w:after="0" w:line="240" w:lineRule="auto"/>
              <w:rPr>
                <w:b/>
                <w:color w:val="000000"/>
                <w:sz w:val="20"/>
                <w:szCs w:val="20"/>
              </w:rPr>
            </w:pPr>
            <w:r w:rsidRPr="00C46CCC">
              <w:rPr>
                <w:b/>
                <w:color w:val="000000"/>
                <w:sz w:val="20"/>
                <w:szCs w:val="20"/>
              </w:rPr>
              <w:t>Arkwright</w:t>
            </w:r>
          </w:p>
        </w:tc>
        <w:tc>
          <w:tcPr>
            <w:tcW w:w="1379"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tcPr>
          <w:p w14:paraId="2F77A93F" w14:textId="77777777" w:rsidR="00BD7424" w:rsidRPr="00C46CCC" w:rsidRDefault="00BD7424" w:rsidP="008A77DD">
            <w:pPr>
              <w:keepNext/>
              <w:keepLines/>
              <w:spacing w:before="0" w:after="0" w:line="240" w:lineRule="auto"/>
              <w:ind w:left="360"/>
              <w:jc w:val="center"/>
              <w:rPr>
                <w:color w:val="000000"/>
                <w:sz w:val="20"/>
                <w:szCs w:val="20"/>
              </w:rPr>
            </w:pPr>
          </w:p>
        </w:tc>
        <w:tc>
          <w:tcPr>
            <w:tcW w:w="155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tcPr>
          <w:p w14:paraId="1CA49295" w14:textId="77777777" w:rsidR="00BD7424" w:rsidRPr="00C46CCC" w:rsidRDefault="00BD7424" w:rsidP="008A77DD">
            <w:pPr>
              <w:keepNext/>
              <w:keepLines/>
              <w:spacing w:before="0" w:after="0" w:line="240" w:lineRule="auto"/>
              <w:ind w:left="18"/>
              <w:jc w:val="center"/>
              <w:rPr>
                <w:color w:val="000000"/>
                <w:sz w:val="20"/>
                <w:szCs w:val="20"/>
              </w:rPr>
            </w:pPr>
          </w:p>
        </w:tc>
        <w:tc>
          <w:tcPr>
            <w:tcW w:w="1186" w:type="dxa"/>
            <w:tcBorders>
              <w:top w:val="single" w:sz="12" w:space="0" w:color="FFFFFF" w:themeColor="background1"/>
              <w:left w:val="single" w:sz="12" w:space="0" w:color="FFFFFF" w:themeColor="background1"/>
              <w:bottom w:val="nil"/>
              <w:right w:val="single" w:sz="4" w:space="0" w:color="auto"/>
            </w:tcBorders>
            <w:shd w:val="clear" w:color="auto" w:fill="E9E9E9"/>
            <w:tcMar>
              <w:top w:w="22" w:type="dxa"/>
              <w:left w:w="81" w:type="dxa"/>
              <w:bottom w:w="22" w:type="dxa"/>
              <w:right w:w="81" w:type="dxa"/>
            </w:tcMar>
          </w:tcPr>
          <w:p w14:paraId="7098168C" w14:textId="77777777" w:rsidR="00BD7424" w:rsidRPr="00C46CCC" w:rsidRDefault="00BD7424" w:rsidP="008A77DD">
            <w:pPr>
              <w:keepNext/>
              <w:keepLines/>
              <w:spacing w:before="0" w:after="0" w:line="240" w:lineRule="auto"/>
              <w:ind w:left="18"/>
              <w:jc w:val="center"/>
              <w:rPr>
                <w:b/>
                <w:color w:val="000000"/>
                <w:sz w:val="20"/>
                <w:szCs w:val="20"/>
              </w:rPr>
            </w:pPr>
          </w:p>
        </w:tc>
        <w:tc>
          <w:tcPr>
            <w:tcW w:w="1369" w:type="dxa"/>
            <w:tcBorders>
              <w:top w:val="single" w:sz="12" w:space="0" w:color="FFFFFF" w:themeColor="background1"/>
              <w:left w:val="single" w:sz="12" w:space="0" w:color="FFFFFF" w:themeColor="background1"/>
              <w:bottom w:val="single" w:sz="12" w:space="0" w:color="FFFFFF" w:themeColor="background1"/>
              <w:right w:val="single" w:sz="4" w:space="0" w:color="auto"/>
            </w:tcBorders>
            <w:shd w:val="clear" w:color="auto" w:fill="E9E9E9"/>
          </w:tcPr>
          <w:p w14:paraId="15A5F073" w14:textId="77777777" w:rsidR="00BD7424" w:rsidRPr="00C46CCC" w:rsidRDefault="00BD7424" w:rsidP="008A77DD">
            <w:pPr>
              <w:keepNext/>
              <w:keepLines/>
              <w:spacing w:before="0" w:after="0" w:line="240" w:lineRule="auto"/>
              <w:ind w:left="18"/>
              <w:jc w:val="center"/>
              <w:rPr>
                <w:b/>
                <w:color w:val="000000"/>
                <w:sz w:val="20"/>
                <w:szCs w:val="20"/>
              </w:rPr>
            </w:pPr>
            <w:r w:rsidRPr="00C46CCC">
              <w:rPr>
                <w:b/>
                <w:color w:val="000000" w:themeColor="text1"/>
                <w:sz w:val="20"/>
                <w:szCs w:val="20"/>
              </w:rPr>
              <w:t>3</w:t>
            </w:r>
          </w:p>
        </w:tc>
      </w:tr>
      <w:tr w:rsidR="00BD7424" w:rsidRPr="00C46CCC" w14:paraId="29F197A8" w14:textId="3BB2C039" w:rsidTr="00BD7424">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77545902"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Bowen</w:t>
            </w:r>
          </w:p>
        </w:tc>
        <w:tc>
          <w:tcPr>
            <w:tcW w:w="1379"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79E79197" w14:textId="77777777" w:rsidR="00BD7424" w:rsidRPr="00C46CCC" w:rsidRDefault="00BD7424" w:rsidP="008A77DD">
            <w:pPr>
              <w:keepNext/>
              <w:keepLines/>
              <w:spacing w:before="0" w:after="0" w:line="240" w:lineRule="auto"/>
              <w:ind w:left="360"/>
              <w:jc w:val="center"/>
              <w:rPr>
                <w:color w:val="000000"/>
                <w:sz w:val="20"/>
                <w:szCs w:val="20"/>
              </w:rPr>
            </w:pPr>
          </w:p>
        </w:tc>
        <w:tc>
          <w:tcPr>
            <w:tcW w:w="155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43C95567" w14:textId="77777777" w:rsidR="00BD7424" w:rsidRPr="00C46CCC" w:rsidRDefault="00BD7424" w:rsidP="008A77DD">
            <w:pPr>
              <w:keepNext/>
              <w:keepLines/>
              <w:spacing w:before="0" w:after="0" w:line="240" w:lineRule="auto"/>
              <w:ind w:left="18"/>
              <w:jc w:val="center"/>
              <w:rPr>
                <w:color w:val="000000"/>
                <w:sz w:val="20"/>
                <w:szCs w:val="20"/>
              </w:rPr>
            </w:pPr>
            <w:r w:rsidRPr="00C46CCC">
              <w:rPr>
                <w:color w:val="000000"/>
                <w:sz w:val="20"/>
                <w:szCs w:val="20"/>
              </w:rPr>
              <w:t>1</w:t>
            </w:r>
          </w:p>
        </w:tc>
        <w:tc>
          <w:tcPr>
            <w:tcW w:w="1186"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1DDE1A86"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1</w:t>
            </w:r>
          </w:p>
        </w:tc>
        <w:tc>
          <w:tcPr>
            <w:tcW w:w="1369"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Pr>
          <w:p w14:paraId="6CAC52CE" w14:textId="77777777" w:rsidR="00BD7424" w:rsidRPr="00C46CCC" w:rsidRDefault="00BD7424" w:rsidP="008A77DD">
            <w:pPr>
              <w:keepNext/>
              <w:keepLines/>
              <w:spacing w:before="0" w:after="0" w:line="240" w:lineRule="auto"/>
              <w:ind w:left="18"/>
              <w:jc w:val="center"/>
              <w:rPr>
                <w:b/>
                <w:color w:val="000000"/>
                <w:sz w:val="20"/>
                <w:szCs w:val="20"/>
              </w:rPr>
            </w:pPr>
            <w:r w:rsidRPr="00C46CCC">
              <w:rPr>
                <w:b/>
                <w:color w:val="000000"/>
                <w:sz w:val="20"/>
                <w:szCs w:val="20"/>
              </w:rPr>
              <w:t>1</w:t>
            </w:r>
          </w:p>
        </w:tc>
      </w:tr>
      <w:tr w:rsidR="00BD7424" w:rsidRPr="00C46CCC" w14:paraId="258EC94C" w14:textId="694ACD81" w:rsidTr="00BD7424">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3453D462"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Branch</w:t>
            </w:r>
          </w:p>
        </w:tc>
        <w:tc>
          <w:tcPr>
            <w:tcW w:w="1379"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0F0790F7" w14:textId="77777777" w:rsidR="00BD7424" w:rsidRPr="00C46CCC" w:rsidRDefault="00BD7424" w:rsidP="008A77DD">
            <w:pPr>
              <w:keepNext/>
              <w:keepLines/>
              <w:spacing w:before="0" w:after="0" w:line="240" w:lineRule="auto"/>
              <w:jc w:val="center"/>
              <w:rPr>
                <w:color w:val="000000"/>
                <w:sz w:val="20"/>
                <w:szCs w:val="20"/>
              </w:rPr>
            </w:pPr>
            <w:r w:rsidRPr="00C46CCC">
              <w:rPr>
                <w:color w:val="000000"/>
                <w:sz w:val="20"/>
                <w:szCs w:val="20"/>
              </w:rPr>
              <w:t>5</w:t>
            </w:r>
          </w:p>
        </w:tc>
        <w:tc>
          <w:tcPr>
            <w:tcW w:w="155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305113A5" w14:textId="77777777" w:rsidR="00BD7424" w:rsidRPr="00C46CCC" w:rsidRDefault="00BD7424" w:rsidP="008A77DD">
            <w:pPr>
              <w:keepNext/>
              <w:keepLines/>
              <w:spacing w:before="0" w:after="0" w:line="240" w:lineRule="auto"/>
              <w:ind w:left="360"/>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316B7875"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5</w:t>
            </w:r>
          </w:p>
        </w:tc>
        <w:tc>
          <w:tcPr>
            <w:tcW w:w="1369" w:type="dxa"/>
            <w:tcBorders>
              <w:top w:val="nil"/>
              <w:left w:val="single" w:sz="12" w:space="0" w:color="FFFFFF" w:themeColor="background1"/>
              <w:bottom w:val="nil"/>
              <w:right w:val="single" w:sz="4" w:space="0" w:color="auto"/>
            </w:tcBorders>
            <w:shd w:val="clear" w:color="auto" w:fill="E9E9E9"/>
          </w:tcPr>
          <w:p w14:paraId="538045E1" w14:textId="77777777" w:rsidR="00BD7424" w:rsidRDefault="00BD7424" w:rsidP="008A77DD">
            <w:pPr>
              <w:keepNext/>
              <w:keepLines/>
              <w:spacing w:before="0" w:after="0" w:line="240" w:lineRule="auto"/>
              <w:ind w:left="18"/>
              <w:jc w:val="center"/>
              <w:rPr>
                <w:b/>
                <w:color w:val="000000"/>
                <w:sz w:val="20"/>
                <w:szCs w:val="20"/>
              </w:rPr>
            </w:pPr>
          </w:p>
          <w:p w14:paraId="215D8366" w14:textId="77777777" w:rsidR="00BD7424" w:rsidRPr="005844E8" w:rsidRDefault="00BD7424" w:rsidP="008A77DD">
            <w:pPr>
              <w:keepNext/>
              <w:keepLines/>
              <w:spacing w:before="0" w:after="0" w:line="240" w:lineRule="auto"/>
              <w:rPr>
                <w:sz w:val="20"/>
                <w:szCs w:val="20"/>
              </w:rPr>
            </w:pPr>
          </w:p>
          <w:p w14:paraId="1657C8C0" w14:textId="77777777" w:rsidR="00BD7424" w:rsidRPr="005844E8" w:rsidRDefault="00BD7424" w:rsidP="008A77DD">
            <w:pPr>
              <w:keepNext/>
              <w:keepLines/>
              <w:spacing w:before="0" w:after="0" w:line="240" w:lineRule="auto"/>
              <w:rPr>
                <w:sz w:val="20"/>
                <w:szCs w:val="20"/>
              </w:rPr>
            </w:pPr>
          </w:p>
          <w:p w14:paraId="02F90057" w14:textId="33B8D02F" w:rsidR="00BD7424" w:rsidRPr="005844E8" w:rsidRDefault="00BD7424" w:rsidP="008A77DD">
            <w:pPr>
              <w:keepNext/>
              <w:keepLines/>
              <w:spacing w:before="0" w:after="0" w:line="240" w:lineRule="auto"/>
              <w:jc w:val="center"/>
              <w:rPr>
                <w:sz w:val="20"/>
                <w:szCs w:val="20"/>
              </w:rPr>
            </w:pPr>
          </w:p>
        </w:tc>
      </w:tr>
      <w:tr w:rsidR="00BD7424" w:rsidRPr="00C46CCC" w14:paraId="1CB27EF6" w14:textId="472B6891" w:rsidTr="00BD7424">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71CD2B38"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Hammond</w:t>
            </w:r>
          </w:p>
        </w:tc>
        <w:tc>
          <w:tcPr>
            <w:tcW w:w="1379"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6700068B" w14:textId="77777777" w:rsidR="00BD7424" w:rsidRPr="00C46CCC" w:rsidRDefault="00BD7424" w:rsidP="008A77DD">
            <w:pPr>
              <w:keepNext/>
              <w:keepLines/>
              <w:spacing w:before="0" w:after="0" w:line="240" w:lineRule="auto"/>
              <w:ind w:left="-4"/>
              <w:jc w:val="center"/>
              <w:rPr>
                <w:color w:val="000000"/>
                <w:sz w:val="20"/>
                <w:szCs w:val="20"/>
              </w:rPr>
            </w:pPr>
            <w:r w:rsidRPr="00C46CCC">
              <w:rPr>
                <w:color w:val="000000"/>
                <w:sz w:val="20"/>
                <w:szCs w:val="20"/>
              </w:rPr>
              <w:t>3</w:t>
            </w:r>
          </w:p>
        </w:tc>
        <w:tc>
          <w:tcPr>
            <w:tcW w:w="155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0707DE70" w14:textId="77777777" w:rsidR="00BD7424" w:rsidRPr="00C46CCC" w:rsidRDefault="00BD7424" w:rsidP="008A77DD">
            <w:pPr>
              <w:keepNext/>
              <w:keepLines/>
              <w:spacing w:before="0" w:after="0" w:line="240" w:lineRule="auto"/>
              <w:ind w:left="18"/>
              <w:jc w:val="center"/>
              <w:rPr>
                <w:color w:val="000000"/>
                <w:sz w:val="20"/>
                <w:szCs w:val="20"/>
              </w:rPr>
            </w:pPr>
            <w:r w:rsidRPr="00C46CCC">
              <w:rPr>
                <w:color w:val="000000"/>
                <w:sz w:val="20"/>
                <w:szCs w:val="20"/>
              </w:rPr>
              <w:t>1</w:t>
            </w:r>
          </w:p>
        </w:tc>
        <w:tc>
          <w:tcPr>
            <w:tcW w:w="1186"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53ED1D4B"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4</w:t>
            </w:r>
          </w:p>
        </w:tc>
        <w:tc>
          <w:tcPr>
            <w:tcW w:w="1369" w:type="dxa"/>
            <w:tcBorders>
              <w:top w:val="nil"/>
              <w:left w:val="single" w:sz="12" w:space="0" w:color="FFFFFF" w:themeColor="background1"/>
              <w:bottom w:val="nil"/>
              <w:right w:val="single" w:sz="4" w:space="0" w:color="auto"/>
            </w:tcBorders>
            <w:shd w:val="clear" w:color="auto" w:fill="FFFFFF" w:themeFill="background1"/>
          </w:tcPr>
          <w:p w14:paraId="4A899F56" w14:textId="77777777" w:rsidR="00BD7424" w:rsidRPr="00C46CCC" w:rsidRDefault="00BD7424" w:rsidP="008A77DD">
            <w:pPr>
              <w:keepNext/>
              <w:keepLines/>
              <w:spacing w:before="0" w:after="0" w:line="240" w:lineRule="auto"/>
              <w:ind w:left="18"/>
              <w:jc w:val="center"/>
              <w:rPr>
                <w:b/>
                <w:color w:val="000000"/>
                <w:sz w:val="20"/>
                <w:szCs w:val="20"/>
              </w:rPr>
            </w:pPr>
            <w:r w:rsidRPr="00C46CCC">
              <w:rPr>
                <w:b/>
                <w:color w:val="000000"/>
                <w:sz w:val="20"/>
                <w:szCs w:val="20"/>
              </w:rPr>
              <w:t>1</w:t>
            </w:r>
          </w:p>
        </w:tc>
      </w:tr>
      <w:tr w:rsidR="00BD7424" w:rsidRPr="00C46CCC" w14:paraId="120457FC" w14:textId="2CCD407A" w:rsidTr="00BD7424">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06BD593F"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Kraft</w:t>
            </w:r>
          </w:p>
        </w:tc>
        <w:tc>
          <w:tcPr>
            <w:tcW w:w="1379"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hideMark/>
          </w:tcPr>
          <w:p w14:paraId="29156A01" w14:textId="77777777" w:rsidR="00BD7424" w:rsidRPr="00C46CCC" w:rsidRDefault="00BD7424" w:rsidP="008A77DD">
            <w:pPr>
              <w:keepNext/>
              <w:keepLines/>
              <w:spacing w:before="0" w:after="0" w:line="240" w:lineRule="auto"/>
              <w:jc w:val="center"/>
              <w:rPr>
                <w:color w:val="000000"/>
                <w:sz w:val="20"/>
                <w:szCs w:val="20"/>
              </w:rPr>
            </w:pPr>
            <w:r w:rsidRPr="00C46CCC">
              <w:rPr>
                <w:color w:val="000000"/>
                <w:sz w:val="20"/>
                <w:szCs w:val="20"/>
              </w:rPr>
              <w:t>1</w:t>
            </w:r>
          </w:p>
        </w:tc>
        <w:tc>
          <w:tcPr>
            <w:tcW w:w="1557"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hideMark/>
          </w:tcPr>
          <w:p w14:paraId="359070F8" w14:textId="77777777" w:rsidR="00BD7424" w:rsidRPr="00C46CCC" w:rsidRDefault="00BD7424" w:rsidP="008A77DD">
            <w:pPr>
              <w:keepNext/>
              <w:keepLines/>
              <w:spacing w:before="0" w:after="0" w:line="240" w:lineRule="auto"/>
              <w:ind w:left="360"/>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hideMark/>
          </w:tcPr>
          <w:p w14:paraId="014AB450"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1</w:t>
            </w:r>
          </w:p>
        </w:tc>
        <w:tc>
          <w:tcPr>
            <w:tcW w:w="1369" w:type="dxa"/>
            <w:tcBorders>
              <w:top w:val="nil"/>
              <w:left w:val="single" w:sz="12" w:space="0" w:color="FFFFFF" w:themeColor="background1"/>
              <w:bottom w:val="nil"/>
              <w:right w:val="single" w:sz="4" w:space="0" w:color="auto"/>
            </w:tcBorders>
            <w:shd w:val="clear" w:color="auto" w:fill="EAEAEA"/>
          </w:tcPr>
          <w:p w14:paraId="29F408DA" w14:textId="70FB28FF" w:rsidR="00BD7424" w:rsidRPr="00C46CCC" w:rsidRDefault="00BD7424" w:rsidP="008A77DD">
            <w:pPr>
              <w:keepNext/>
              <w:keepLines/>
              <w:spacing w:before="0" w:after="0" w:line="240" w:lineRule="auto"/>
              <w:ind w:left="18"/>
              <w:jc w:val="center"/>
              <w:rPr>
                <w:b/>
                <w:color w:val="000000"/>
                <w:sz w:val="20"/>
                <w:szCs w:val="20"/>
              </w:rPr>
            </w:pPr>
          </w:p>
        </w:tc>
      </w:tr>
      <w:tr w:rsidR="00BD7424" w:rsidRPr="00C46CCC" w14:paraId="2FC06D72" w14:textId="77777777" w:rsidTr="00BD7424">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tcPr>
          <w:p w14:paraId="0CF6D19C" w14:textId="72FE0F4B" w:rsidR="00BD7424" w:rsidRPr="00C46CCC" w:rsidRDefault="00BD7424" w:rsidP="008A77DD">
            <w:pPr>
              <w:keepNext/>
              <w:keepLines/>
              <w:spacing w:before="0" w:after="0" w:line="240" w:lineRule="auto"/>
              <w:rPr>
                <w:b/>
                <w:color w:val="000000"/>
                <w:sz w:val="20"/>
                <w:szCs w:val="20"/>
              </w:rPr>
            </w:pPr>
            <w:r>
              <w:rPr>
                <w:b/>
                <w:color w:val="000000"/>
                <w:sz w:val="20"/>
                <w:szCs w:val="20"/>
              </w:rPr>
              <w:t>Kraft (Grumman Road)</w:t>
            </w:r>
          </w:p>
        </w:tc>
        <w:tc>
          <w:tcPr>
            <w:tcW w:w="1379"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tcPr>
          <w:p w14:paraId="73D40E55" w14:textId="77777777" w:rsidR="00BD7424" w:rsidRPr="00C46CCC" w:rsidRDefault="00BD7424" w:rsidP="008A77DD">
            <w:pPr>
              <w:keepNext/>
              <w:keepLines/>
              <w:spacing w:before="0" w:after="0" w:line="240" w:lineRule="auto"/>
              <w:jc w:val="center"/>
              <w:rPr>
                <w:color w:val="000000"/>
                <w:sz w:val="20"/>
                <w:szCs w:val="20"/>
              </w:rPr>
            </w:pPr>
          </w:p>
        </w:tc>
        <w:tc>
          <w:tcPr>
            <w:tcW w:w="155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tcPr>
          <w:p w14:paraId="2936C9B8" w14:textId="77777777" w:rsidR="00BD7424" w:rsidRPr="00C46CCC" w:rsidRDefault="00BD7424" w:rsidP="008A77DD">
            <w:pPr>
              <w:keepNext/>
              <w:keepLines/>
              <w:spacing w:before="0" w:after="0" w:line="240" w:lineRule="auto"/>
              <w:ind w:left="18"/>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tcPr>
          <w:p w14:paraId="35E54E9E" w14:textId="77777777" w:rsidR="00BD7424" w:rsidRPr="00C46CCC" w:rsidRDefault="00BD7424" w:rsidP="008A77DD">
            <w:pPr>
              <w:keepNext/>
              <w:keepLines/>
              <w:spacing w:before="0" w:after="0" w:line="240" w:lineRule="auto"/>
              <w:ind w:left="18"/>
              <w:jc w:val="center"/>
              <w:rPr>
                <w:b/>
                <w:color w:val="000000"/>
                <w:sz w:val="20"/>
                <w:szCs w:val="20"/>
              </w:rPr>
            </w:pPr>
          </w:p>
        </w:tc>
        <w:tc>
          <w:tcPr>
            <w:tcW w:w="1369" w:type="dxa"/>
            <w:tcBorders>
              <w:top w:val="nil"/>
              <w:left w:val="single" w:sz="12" w:space="0" w:color="FFFFFF" w:themeColor="background1"/>
              <w:bottom w:val="nil"/>
              <w:right w:val="single" w:sz="4" w:space="0" w:color="auto"/>
            </w:tcBorders>
            <w:shd w:val="clear" w:color="auto" w:fill="FFFFFF" w:themeFill="background1"/>
          </w:tcPr>
          <w:p w14:paraId="3905D4C5" w14:textId="247680BF" w:rsidR="00BD7424" w:rsidRPr="00C46CCC" w:rsidRDefault="00BD7424" w:rsidP="008A77DD">
            <w:pPr>
              <w:keepNext/>
              <w:keepLines/>
              <w:spacing w:before="0" w:after="0" w:line="240" w:lineRule="auto"/>
              <w:ind w:left="18"/>
              <w:jc w:val="center"/>
              <w:rPr>
                <w:b/>
                <w:color w:val="000000"/>
                <w:sz w:val="20"/>
                <w:szCs w:val="20"/>
              </w:rPr>
            </w:pPr>
            <w:r>
              <w:rPr>
                <w:b/>
                <w:color w:val="000000"/>
                <w:sz w:val="20"/>
                <w:szCs w:val="20"/>
              </w:rPr>
              <w:t>1</w:t>
            </w:r>
          </w:p>
        </w:tc>
      </w:tr>
      <w:tr w:rsidR="00BD7424" w:rsidRPr="00C46CCC" w14:paraId="666CE8A1" w14:textId="1E3F6B11" w:rsidTr="004E32D7">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4BB013C8" w14:textId="77777777" w:rsidR="00BD7424" w:rsidRPr="00C46CCC" w:rsidRDefault="00BD7424" w:rsidP="008A77DD">
            <w:pPr>
              <w:keepNext/>
              <w:keepLines/>
              <w:spacing w:before="0" w:after="0" w:line="240" w:lineRule="auto"/>
              <w:rPr>
                <w:color w:val="000000" w:themeColor="text1"/>
                <w:sz w:val="20"/>
                <w:szCs w:val="20"/>
              </w:rPr>
            </w:pPr>
            <w:r w:rsidRPr="00C46CCC">
              <w:rPr>
                <w:b/>
                <w:color w:val="000000"/>
                <w:sz w:val="20"/>
                <w:szCs w:val="20"/>
              </w:rPr>
              <w:t>McDonough</w:t>
            </w:r>
          </w:p>
        </w:tc>
        <w:tc>
          <w:tcPr>
            <w:tcW w:w="1379"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3CF3CED0" w14:textId="77777777" w:rsidR="00BD7424" w:rsidRPr="00C46CCC" w:rsidRDefault="00BD7424" w:rsidP="008A77DD">
            <w:pPr>
              <w:keepNext/>
              <w:keepLines/>
              <w:spacing w:before="0" w:after="0" w:line="240" w:lineRule="auto"/>
              <w:jc w:val="center"/>
              <w:rPr>
                <w:color w:val="000000"/>
                <w:sz w:val="20"/>
                <w:szCs w:val="20"/>
              </w:rPr>
            </w:pPr>
            <w:r w:rsidRPr="00C46CCC">
              <w:rPr>
                <w:color w:val="000000"/>
                <w:sz w:val="20"/>
                <w:szCs w:val="20"/>
              </w:rPr>
              <w:t>1</w:t>
            </w:r>
          </w:p>
        </w:tc>
        <w:tc>
          <w:tcPr>
            <w:tcW w:w="155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7051D9FA" w14:textId="77777777" w:rsidR="00BD7424" w:rsidRPr="00C46CCC" w:rsidRDefault="00BD7424" w:rsidP="008A77DD">
            <w:pPr>
              <w:keepNext/>
              <w:keepLines/>
              <w:spacing w:before="0" w:after="0" w:line="240" w:lineRule="auto"/>
              <w:ind w:left="18"/>
              <w:jc w:val="center"/>
              <w:rPr>
                <w:color w:val="000000"/>
                <w:sz w:val="20"/>
                <w:szCs w:val="20"/>
              </w:rPr>
            </w:pPr>
            <w:r w:rsidRPr="00C46CCC">
              <w:rPr>
                <w:color w:val="000000"/>
                <w:sz w:val="20"/>
                <w:szCs w:val="20"/>
              </w:rPr>
              <w:t>3</w:t>
            </w:r>
          </w:p>
        </w:tc>
        <w:tc>
          <w:tcPr>
            <w:tcW w:w="1186"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0F24328D" w14:textId="5C820BA8"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4</w:t>
            </w:r>
          </w:p>
        </w:tc>
        <w:tc>
          <w:tcPr>
            <w:tcW w:w="1369" w:type="dxa"/>
            <w:tcBorders>
              <w:top w:val="nil"/>
              <w:left w:val="single" w:sz="12" w:space="0" w:color="FFFFFF" w:themeColor="background1"/>
              <w:bottom w:val="nil"/>
              <w:right w:val="single" w:sz="4" w:space="0" w:color="auto"/>
            </w:tcBorders>
            <w:shd w:val="clear" w:color="auto" w:fill="E9E9E9"/>
          </w:tcPr>
          <w:p w14:paraId="7AB3FFE5" w14:textId="77777777" w:rsidR="00BD7424" w:rsidRPr="00C46CCC" w:rsidRDefault="00BD7424" w:rsidP="008A77DD">
            <w:pPr>
              <w:keepNext/>
              <w:keepLines/>
              <w:spacing w:before="0" w:after="0" w:line="240" w:lineRule="auto"/>
              <w:ind w:left="18"/>
              <w:jc w:val="center"/>
              <w:rPr>
                <w:b/>
                <w:color w:val="000000"/>
                <w:sz w:val="20"/>
                <w:szCs w:val="20"/>
              </w:rPr>
            </w:pPr>
          </w:p>
        </w:tc>
      </w:tr>
      <w:tr w:rsidR="00BD7424" w:rsidRPr="00C46CCC" w14:paraId="433303D2" w14:textId="6BEBAD90" w:rsidTr="004E32D7">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7B254CD0"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McIntosh</w:t>
            </w:r>
          </w:p>
        </w:tc>
        <w:tc>
          <w:tcPr>
            <w:tcW w:w="1379"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6100D015" w14:textId="77777777" w:rsidR="00BD7424" w:rsidRPr="00C46CCC" w:rsidRDefault="00BD7424" w:rsidP="008A77DD">
            <w:pPr>
              <w:keepNext/>
              <w:keepLines/>
              <w:spacing w:before="0" w:after="0" w:line="240" w:lineRule="auto"/>
              <w:jc w:val="center"/>
              <w:rPr>
                <w:color w:val="000000"/>
                <w:sz w:val="20"/>
                <w:szCs w:val="20"/>
              </w:rPr>
            </w:pPr>
            <w:r w:rsidRPr="00C46CCC">
              <w:rPr>
                <w:color w:val="000000"/>
                <w:sz w:val="20"/>
                <w:szCs w:val="20"/>
              </w:rPr>
              <w:t>1</w:t>
            </w:r>
          </w:p>
        </w:tc>
        <w:tc>
          <w:tcPr>
            <w:tcW w:w="155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773B8DAB" w14:textId="77777777" w:rsidR="00BD7424" w:rsidRPr="00C46CCC" w:rsidRDefault="00BD7424" w:rsidP="008A77DD">
            <w:pPr>
              <w:keepNext/>
              <w:keepLines/>
              <w:spacing w:before="0" w:after="0" w:line="240" w:lineRule="auto"/>
              <w:ind w:left="360"/>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42B6C35F"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1</w:t>
            </w:r>
          </w:p>
        </w:tc>
        <w:tc>
          <w:tcPr>
            <w:tcW w:w="1369" w:type="dxa"/>
            <w:tcBorders>
              <w:top w:val="nil"/>
              <w:left w:val="single" w:sz="12" w:space="0" w:color="FFFFFF" w:themeColor="background1"/>
              <w:bottom w:val="nil"/>
              <w:right w:val="single" w:sz="4" w:space="0" w:color="auto"/>
            </w:tcBorders>
            <w:shd w:val="clear" w:color="auto" w:fill="FFFFFF" w:themeFill="background1"/>
          </w:tcPr>
          <w:p w14:paraId="7871DCDD" w14:textId="77777777" w:rsidR="00BD7424" w:rsidRPr="00C46CCC" w:rsidRDefault="00BD7424" w:rsidP="008A77DD">
            <w:pPr>
              <w:keepNext/>
              <w:keepLines/>
              <w:spacing w:before="0" w:after="0" w:line="240" w:lineRule="auto"/>
              <w:ind w:left="18"/>
              <w:jc w:val="center"/>
              <w:rPr>
                <w:b/>
                <w:color w:val="000000"/>
                <w:sz w:val="20"/>
                <w:szCs w:val="20"/>
              </w:rPr>
            </w:pPr>
            <w:r w:rsidRPr="00C46CCC">
              <w:rPr>
                <w:b/>
                <w:color w:val="000000"/>
                <w:sz w:val="20"/>
                <w:szCs w:val="20"/>
              </w:rPr>
              <w:t>2</w:t>
            </w:r>
          </w:p>
        </w:tc>
      </w:tr>
      <w:tr w:rsidR="00BD7424" w:rsidRPr="00C46CCC" w14:paraId="09DB5686" w14:textId="487170B1" w:rsidTr="004E32D7">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17265ABF"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McManus</w:t>
            </w:r>
          </w:p>
        </w:tc>
        <w:tc>
          <w:tcPr>
            <w:tcW w:w="1379"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3574017E" w14:textId="77777777" w:rsidR="00BD7424" w:rsidRPr="00C46CCC" w:rsidRDefault="00BD7424" w:rsidP="008A77DD">
            <w:pPr>
              <w:keepNext/>
              <w:keepLines/>
              <w:spacing w:before="0" w:after="0" w:line="240" w:lineRule="auto"/>
              <w:jc w:val="center"/>
              <w:rPr>
                <w:color w:val="000000"/>
                <w:sz w:val="20"/>
                <w:szCs w:val="20"/>
              </w:rPr>
            </w:pPr>
            <w:r w:rsidRPr="00C46CCC">
              <w:rPr>
                <w:color w:val="000000"/>
                <w:sz w:val="20"/>
                <w:szCs w:val="20"/>
              </w:rPr>
              <w:t>1</w:t>
            </w:r>
          </w:p>
        </w:tc>
        <w:tc>
          <w:tcPr>
            <w:tcW w:w="155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3E6A09C7" w14:textId="77777777" w:rsidR="00BD7424" w:rsidRPr="00C46CCC" w:rsidRDefault="00BD7424" w:rsidP="008A77DD">
            <w:pPr>
              <w:keepNext/>
              <w:keepLines/>
              <w:spacing w:before="0" w:after="0" w:line="240" w:lineRule="auto"/>
              <w:ind w:left="360"/>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0505EA51"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1</w:t>
            </w:r>
          </w:p>
        </w:tc>
        <w:tc>
          <w:tcPr>
            <w:tcW w:w="1369" w:type="dxa"/>
            <w:tcBorders>
              <w:top w:val="nil"/>
              <w:left w:val="single" w:sz="12" w:space="0" w:color="FFFFFF" w:themeColor="background1"/>
              <w:bottom w:val="nil"/>
              <w:right w:val="single" w:sz="4" w:space="0" w:color="auto"/>
            </w:tcBorders>
            <w:shd w:val="clear" w:color="auto" w:fill="E9E9E9"/>
          </w:tcPr>
          <w:p w14:paraId="4EFAE2CB" w14:textId="77777777" w:rsidR="00BD7424" w:rsidRPr="00C46CCC" w:rsidRDefault="00BD7424" w:rsidP="008A77DD">
            <w:pPr>
              <w:keepNext/>
              <w:keepLines/>
              <w:spacing w:before="0" w:after="0" w:line="240" w:lineRule="auto"/>
              <w:ind w:left="18"/>
              <w:jc w:val="center"/>
              <w:rPr>
                <w:b/>
                <w:color w:val="000000"/>
                <w:sz w:val="20"/>
                <w:szCs w:val="20"/>
              </w:rPr>
            </w:pPr>
          </w:p>
        </w:tc>
      </w:tr>
      <w:tr w:rsidR="00BD7424" w:rsidRPr="00C46CCC" w14:paraId="64086B34" w14:textId="769A6D0E" w:rsidTr="004E32D7">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3E92FED0"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Mitchell</w:t>
            </w:r>
          </w:p>
        </w:tc>
        <w:tc>
          <w:tcPr>
            <w:tcW w:w="1379"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28464AE1" w14:textId="77777777" w:rsidR="00BD7424" w:rsidRPr="00C46CCC" w:rsidRDefault="00BD7424" w:rsidP="008A77DD">
            <w:pPr>
              <w:keepNext/>
              <w:keepLines/>
              <w:spacing w:before="0" w:after="0" w:line="240" w:lineRule="auto"/>
              <w:jc w:val="center"/>
              <w:rPr>
                <w:color w:val="000000"/>
                <w:sz w:val="20"/>
                <w:szCs w:val="20"/>
              </w:rPr>
            </w:pPr>
            <w:r w:rsidRPr="00C46CCC">
              <w:rPr>
                <w:color w:val="000000"/>
                <w:sz w:val="20"/>
                <w:szCs w:val="20"/>
              </w:rPr>
              <w:t>3</w:t>
            </w:r>
          </w:p>
        </w:tc>
        <w:tc>
          <w:tcPr>
            <w:tcW w:w="155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2BB360FF" w14:textId="77777777" w:rsidR="00BD7424" w:rsidRPr="00C46CCC" w:rsidRDefault="00BD7424" w:rsidP="008A77DD">
            <w:pPr>
              <w:keepNext/>
              <w:keepLines/>
              <w:spacing w:before="0" w:after="0" w:line="240" w:lineRule="auto"/>
              <w:ind w:left="360"/>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1B9CE683" w14:textId="77777777" w:rsidR="00BD7424" w:rsidRPr="00C46CCC" w:rsidRDefault="00BD7424" w:rsidP="008A77DD">
            <w:pPr>
              <w:keepNext/>
              <w:keepLines/>
              <w:spacing w:before="0" w:after="0" w:line="240" w:lineRule="auto"/>
              <w:jc w:val="center"/>
              <w:rPr>
                <w:color w:val="000000"/>
                <w:sz w:val="20"/>
                <w:szCs w:val="20"/>
              </w:rPr>
            </w:pPr>
            <w:r w:rsidRPr="00C46CCC">
              <w:rPr>
                <w:b/>
                <w:color w:val="000000"/>
                <w:sz w:val="20"/>
                <w:szCs w:val="20"/>
              </w:rPr>
              <w:t>3</w:t>
            </w:r>
          </w:p>
        </w:tc>
        <w:tc>
          <w:tcPr>
            <w:tcW w:w="1369" w:type="dxa"/>
            <w:tcBorders>
              <w:top w:val="nil"/>
              <w:left w:val="single" w:sz="12" w:space="0" w:color="FFFFFF" w:themeColor="background1"/>
              <w:bottom w:val="nil"/>
              <w:right w:val="single" w:sz="4" w:space="0" w:color="auto"/>
            </w:tcBorders>
            <w:shd w:val="clear" w:color="auto" w:fill="FFFFFF" w:themeFill="background1"/>
          </w:tcPr>
          <w:p w14:paraId="6D43FB31" w14:textId="77777777" w:rsidR="00BD7424" w:rsidRPr="00C46CCC" w:rsidRDefault="00BD7424" w:rsidP="008A77DD">
            <w:pPr>
              <w:keepNext/>
              <w:keepLines/>
              <w:spacing w:before="0" w:after="0" w:line="240" w:lineRule="auto"/>
              <w:jc w:val="center"/>
              <w:rPr>
                <w:b/>
                <w:color w:val="000000"/>
                <w:sz w:val="20"/>
                <w:szCs w:val="20"/>
              </w:rPr>
            </w:pPr>
          </w:p>
        </w:tc>
      </w:tr>
      <w:tr w:rsidR="00BD7424" w:rsidRPr="00C46CCC" w14:paraId="6ECB8E09" w14:textId="56B1818B" w:rsidTr="004E32D7">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32059304"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Scherer</w:t>
            </w:r>
          </w:p>
        </w:tc>
        <w:tc>
          <w:tcPr>
            <w:tcW w:w="1379"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1AE5D43A" w14:textId="77777777" w:rsidR="00BD7424" w:rsidRPr="00C46CCC" w:rsidRDefault="00BD7424" w:rsidP="008A77DD">
            <w:pPr>
              <w:keepNext/>
              <w:keepLines/>
              <w:spacing w:before="0" w:after="0" w:line="240" w:lineRule="auto"/>
              <w:ind w:left="360"/>
              <w:jc w:val="center"/>
              <w:rPr>
                <w:color w:val="000000"/>
                <w:sz w:val="20"/>
                <w:szCs w:val="20"/>
              </w:rPr>
            </w:pPr>
          </w:p>
        </w:tc>
        <w:tc>
          <w:tcPr>
            <w:tcW w:w="155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7E0B6B64" w14:textId="77777777" w:rsidR="00BD7424" w:rsidRPr="00C46CCC" w:rsidRDefault="00BD7424" w:rsidP="008A77DD">
            <w:pPr>
              <w:keepNext/>
              <w:keepLines/>
              <w:spacing w:before="0" w:after="0" w:line="240" w:lineRule="auto"/>
              <w:ind w:left="18"/>
              <w:jc w:val="center"/>
              <w:rPr>
                <w:color w:val="000000"/>
                <w:sz w:val="20"/>
                <w:szCs w:val="20"/>
              </w:rPr>
            </w:pPr>
            <w:r w:rsidRPr="00C46CCC">
              <w:rPr>
                <w:color w:val="000000"/>
                <w:sz w:val="20"/>
                <w:szCs w:val="20"/>
              </w:rPr>
              <w:t>1</w:t>
            </w:r>
          </w:p>
        </w:tc>
        <w:tc>
          <w:tcPr>
            <w:tcW w:w="1186"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1723CF9F" w14:textId="77777777" w:rsidR="00BD7424" w:rsidRPr="00C46CCC" w:rsidRDefault="00BD7424" w:rsidP="008A77DD">
            <w:pPr>
              <w:keepNext/>
              <w:keepLines/>
              <w:spacing w:before="0" w:after="0" w:line="240" w:lineRule="auto"/>
              <w:jc w:val="center"/>
              <w:rPr>
                <w:color w:val="000000"/>
                <w:sz w:val="20"/>
                <w:szCs w:val="20"/>
              </w:rPr>
            </w:pPr>
            <w:r w:rsidRPr="00C46CCC">
              <w:rPr>
                <w:b/>
                <w:color w:val="000000"/>
                <w:sz w:val="20"/>
                <w:szCs w:val="20"/>
              </w:rPr>
              <w:t>1</w:t>
            </w:r>
          </w:p>
        </w:tc>
        <w:tc>
          <w:tcPr>
            <w:tcW w:w="1369" w:type="dxa"/>
            <w:tcBorders>
              <w:top w:val="nil"/>
              <w:left w:val="single" w:sz="12" w:space="0" w:color="FFFFFF" w:themeColor="background1"/>
              <w:bottom w:val="nil"/>
              <w:right w:val="single" w:sz="4" w:space="0" w:color="auto"/>
            </w:tcBorders>
            <w:shd w:val="clear" w:color="auto" w:fill="E9E9E9"/>
          </w:tcPr>
          <w:p w14:paraId="53E0B6A4" w14:textId="77777777" w:rsidR="00BD7424" w:rsidRPr="00C46CCC" w:rsidRDefault="00BD7424" w:rsidP="008A77DD">
            <w:pPr>
              <w:keepNext/>
              <w:keepLines/>
              <w:spacing w:before="0" w:after="0" w:line="240" w:lineRule="auto"/>
              <w:jc w:val="center"/>
              <w:rPr>
                <w:b/>
                <w:color w:val="000000"/>
                <w:sz w:val="20"/>
                <w:szCs w:val="20"/>
              </w:rPr>
            </w:pPr>
            <w:r w:rsidRPr="00C46CCC">
              <w:rPr>
                <w:b/>
                <w:color w:val="000000"/>
                <w:sz w:val="20"/>
                <w:szCs w:val="20"/>
              </w:rPr>
              <w:t>1</w:t>
            </w:r>
          </w:p>
        </w:tc>
      </w:tr>
      <w:tr w:rsidR="00BD7424" w:rsidRPr="00C46CCC" w14:paraId="6C08B29E" w14:textId="666C5DD2" w:rsidTr="004E32D7">
        <w:trPr>
          <w:trHeight w:hRule="exact" w:val="288"/>
          <w:jc w:val="center"/>
        </w:trPr>
        <w:tc>
          <w:tcPr>
            <w:tcW w:w="234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1214F505"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Wansley</w:t>
            </w:r>
          </w:p>
        </w:tc>
        <w:tc>
          <w:tcPr>
            <w:tcW w:w="1379"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49087D22" w14:textId="62CDDFDB" w:rsidR="00BD7424" w:rsidRPr="00C46CCC" w:rsidRDefault="00BD7424" w:rsidP="008A77DD">
            <w:pPr>
              <w:keepNext/>
              <w:keepLines/>
              <w:spacing w:before="0" w:after="0" w:line="240" w:lineRule="auto"/>
              <w:jc w:val="center"/>
              <w:rPr>
                <w:color w:val="000000"/>
                <w:sz w:val="20"/>
                <w:szCs w:val="20"/>
              </w:rPr>
            </w:pPr>
            <w:r>
              <w:rPr>
                <w:color w:val="000000"/>
                <w:sz w:val="20"/>
                <w:szCs w:val="20"/>
              </w:rPr>
              <w:t>1</w:t>
            </w:r>
          </w:p>
        </w:tc>
        <w:tc>
          <w:tcPr>
            <w:tcW w:w="155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65B563A8" w14:textId="77777777" w:rsidR="00BD7424" w:rsidRPr="00C46CCC" w:rsidRDefault="00BD7424" w:rsidP="008A77DD">
            <w:pPr>
              <w:keepNext/>
              <w:keepLines/>
              <w:spacing w:before="0" w:after="0" w:line="240" w:lineRule="auto"/>
              <w:ind w:left="18"/>
              <w:jc w:val="center"/>
              <w:rPr>
                <w:color w:val="000000"/>
                <w:sz w:val="20"/>
                <w:szCs w:val="20"/>
              </w:rPr>
            </w:pPr>
          </w:p>
        </w:tc>
        <w:tc>
          <w:tcPr>
            <w:tcW w:w="1186"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7ABD09DB"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1</w:t>
            </w:r>
          </w:p>
        </w:tc>
        <w:tc>
          <w:tcPr>
            <w:tcW w:w="1369" w:type="dxa"/>
            <w:tcBorders>
              <w:top w:val="nil"/>
              <w:left w:val="single" w:sz="12" w:space="0" w:color="FFFFFF" w:themeColor="background1"/>
              <w:bottom w:val="nil"/>
              <w:right w:val="single" w:sz="4" w:space="0" w:color="auto"/>
            </w:tcBorders>
            <w:shd w:val="clear" w:color="auto" w:fill="FFFFFF" w:themeFill="background1"/>
          </w:tcPr>
          <w:p w14:paraId="413010FE" w14:textId="77777777" w:rsidR="00BD7424" w:rsidRPr="00C46CCC" w:rsidRDefault="00BD7424" w:rsidP="008A77DD">
            <w:pPr>
              <w:keepNext/>
              <w:keepLines/>
              <w:spacing w:before="0" w:after="0" w:line="240" w:lineRule="auto"/>
              <w:ind w:left="18"/>
              <w:jc w:val="center"/>
              <w:rPr>
                <w:b/>
                <w:color w:val="000000"/>
                <w:sz w:val="20"/>
                <w:szCs w:val="20"/>
              </w:rPr>
            </w:pPr>
            <w:r w:rsidRPr="00C46CCC">
              <w:rPr>
                <w:b/>
                <w:color w:val="000000"/>
                <w:sz w:val="20"/>
                <w:szCs w:val="20"/>
              </w:rPr>
              <w:t>1</w:t>
            </w:r>
          </w:p>
        </w:tc>
      </w:tr>
      <w:tr w:rsidR="00BD7424" w:rsidRPr="00C46CCC" w14:paraId="72A93826" w14:textId="44C4D18F" w:rsidTr="004E32D7">
        <w:trPr>
          <w:trHeight w:hRule="exact" w:val="288"/>
          <w:jc w:val="center"/>
        </w:trPr>
        <w:tc>
          <w:tcPr>
            <w:tcW w:w="2340" w:type="dxa"/>
            <w:tcBorders>
              <w:top w:val="nil"/>
              <w:left w:val="single" w:sz="4" w:space="0" w:color="auto"/>
              <w:bottom w:val="single" w:sz="18" w:space="0" w:color="707070"/>
              <w:right w:val="single" w:sz="12" w:space="0" w:color="FFFFFF" w:themeColor="background1"/>
            </w:tcBorders>
            <w:shd w:val="clear" w:color="auto" w:fill="E9E9E9"/>
            <w:tcMar>
              <w:top w:w="22" w:type="dxa"/>
              <w:left w:w="81" w:type="dxa"/>
              <w:bottom w:w="22" w:type="dxa"/>
              <w:right w:w="81" w:type="dxa"/>
            </w:tcMar>
            <w:hideMark/>
          </w:tcPr>
          <w:p w14:paraId="24B94924" w14:textId="77777777" w:rsidR="00BD7424" w:rsidRPr="00C46CCC" w:rsidRDefault="00BD7424" w:rsidP="008A77DD">
            <w:pPr>
              <w:keepNext/>
              <w:keepLines/>
              <w:spacing w:before="0" w:after="0" w:line="240" w:lineRule="auto"/>
              <w:rPr>
                <w:color w:val="000000"/>
                <w:sz w:val="20"/>
                <w:szCs w:val="20"/>
              </w:rPr>
            </w:pPr>
            <w:r w:rsidRPr="00C46CCC">
              <w:rPr>
                <w:b/>
                <w:color w:val="000000"/>
                <w:sz w:val="20"/>
                <w:szCs w:val="20"/>
              </w:rPr>
              <w:t>Yates</w:t>
            </w:r>
          </w:p>
        </w:tc>
        <w:tc>
          <w:tcPr>
            <w:tcW w:w="1379" w:type="dxa"/>
            <w:tcBorders>
              <w:top w:val="nil"/>
              <w:left w:val="single" w:sz="12" w:space="0" w:color="FFFFFF" w:themeColor="background1"/>
              <w:bottom w:val="single" w:sz="18" w:space="0" w:color="707070"/>
              <w:right w:val="single" w:sz="12" w:space="0" w:color="FFFFFF" w:themeColor="background1"/>
            </w:tcBorders>
            <w:shd w:val="clear" w:color="auto" w:fill="E9E9E9"/>
            <w:tcMar>
              <w:top w:w="22" w:type="dxa"/>
              <w:left w:w="81" w:type="dxa"/>
              <w:bottom w:w="22" w:type="dxa"/>
              <w:right w:w="81" w:type="dxa"/>
            </w:tcMar>
            <w:hideMark/>
          </w:tcPr>
          <w:p w14:paraId="7337B9B9" w14:textId="77777777" w:rsidR="00BD7424" w:rsidRPr="00C46CCC" w:rsidRDefault="00BD7424" w:rsidP="004E32D7">
            <w:pPr>
              <w:keepNext/>
              <w:keepLines/>
              <w:spacing w:before="0" w:after="0" w:line="240" w:lineRule="auto"/>
              <w:jc w:val="center"/>
              <w:rPr>
                <w:color w:val="000000"/>
                <w:sz w:val="20"/>
                <w:szCs w:val="20"/>
              </w:rPr>
            </w:pPr>
            <w:r>
              <w:rPr>
                <w:color w:val="000000"/>
                <w:sz w:val="20"/>
                <w:szCs w:val="20"/>
              </w:rPr>
              <w:t>4</w:t>
            </w:r>
          </w:p>
        </w:tc>
        <w:tc>
          <w:tcPr>
            <w:tcW w:w="1557" w:type="dxa"/>
            <w:tcBorders>
              <w:top w:val="nil"/>
              <w:left w:val="single" w:sz="12" w:space="0" w:color="FFFFFF" w:themeColor="background1"/>
              <w:bottom w:val="single" w:sz="18" w:space="0" w:color="707070"/>
              <w:right w:val="single" w:sz="12" w:space="0" w:color="FFFFFF" w:themeColor="background1"/>
            </w:tcBorders>
            <w:shd w:val="clear" w:color="auto" w:fill="E9E9E9"/>
            <w:tcMar>
              <w:top w:w="22" w:type="dxa"/>
              <w:left w:w="81" w:type="dxa"/>
              <w:bottom w:w="22" w:type="dxa"/>
              <w:right w:w="81" w:type="dxa"/>
            </w:tcMar>
            <w:hideMark/>
          </w:tcPr>
          <w:p w14:paraId="3BDCF1A2" w14:textId="0AE24530" w:rsidR="00BD7424" w:rsidRPr="00C46CCC" w:rsidRDefault="00BD7424" w:rsidP="004E32D7">
            <w:pPr>
              <w:keepNext/>
              <w:keepLines/>
              <w:spacing w:before="0" w:after="0" w:line="240" w:lineRule="auto"/>
              <w:ind w:left="18"/>
              <w:jc w:val="center"/>
              <w:rPr>
                <w:color w:val="000000"/>
                <w:sz w:val="20"/>
                <w:szCs w:val="20"/>
              </w:rPr>
            </w:pPr>
            <w:r>
              <w:rPr>
                <w:color w:val="000000"/>
                <w:sz w:val="20"/>
                <w:szCs w:val="20"/>
              </w:rPr>
              <w:t>3</w:t>
            </w:r>
          </w:p>
        </w:tc>
        <w:tc>
          <w:tcPr>
            <w:tcW w:w="1186" w:type="dxa"/>
            <w:tcBorders>
              <w:top w:val="nil"/>
              <w:left w:val="single" w:sz="12" w:space="0" w:color="FFFFFF" w:themeColor="background1"/>
              <w:bottom w:val="single" w:sz="18" w:space="0" w:color="707070"/>
              <w:right w:val="single" w:sz="4" w:space="0" w:color="auto"/>
            </w:tcBorders>
            <w:shd w:val="clear" w:color="auto" w:fill="E9E9E9"/>
            <w:tcMar>
              <w:top w:w="22" w:type="dxa"/>
              <w:left w:w="81" w:type="dxa"/>
              <w:bottom w:w="22" w:type="dxa"/>
              <w:right w:w="81" w:type="dxa"/>
            </w:tcMar>
            <w:hideMark/>
          </w:tcPr>
          <w:p w14:paraId="262E9E68"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7</w:t>
            </w:r>
          </w:p>
        </w:tc>
        <w:tc>
          <w:tcPr>
            <w:tcW w:w="1369" w:type="dxa"/>
            <w:tcBorders>
              <w:top w:val="nil"/>
              <w:left w:val="single" w:sz="12" w:space="0" w:color="FFFFFF" w:themeColor="background1"/>
              <w:bottom w:val="single" w:sz="18" w:space="0" w:color="707070"/>
              <w:right w:val="single" w:sz="4" w:space="0" w:color="auto"/>
            </w:tcBorders>
            <w:shd w:val="clear" w:color="auto" w:fill="E9E9E9"/>
          </w:tcPr>
          <w:p w14:paraId="657FCB5A" w14:textId="77777777" w:rsidR="00BD7424" w:rsidRPr="00C46CCC" w:rsidRDefault="00BD7424" w:rsidP="008A77DD">
            <w:pPr>
              <w:keepNext/>
              <w:keepLines/>
              <w:spacing w:before="0" w:after="0" w:line="240" w:lineRule="auto"/>
              <w:ind w:left="18"/>
              <w:jc w:val="center"/>
              <w:rPr>
                <w:b/>
                <w:color w:val="000000"/>
                <w:sz w:val="20"/>
                <w:szCs w:val="20"/>
              </w:rPr>
            </w:pPr>
            <w:r w:rsidRPr="00C46CCC">
              <w:rPr>
                <w:b/>
                <w:color w:val="000000"/>
                <w:sz w:val="20"/>
                <w:szCs w:val="20"/>
              </w:rPr>
              <w:t>2</w:t>
            </w:r>
          </w:p>
        </w:tc>
      </w:tr>
      <w:tr w:rsidR="00BD7424" w:rsidRPr="00C46CCC" w14:paraId="18020DC5" w14:textId="1D93DA3C" w:rsidTr="004E32D7">
        <w:trPr>
          <w:trHeight w:hRule="exact" w:val="288"/>
          <w:jc w:val="center"/>
        </w:trPr>
        <w:tc>
          <w:tcPr>
            <w:tcW w:w="2340" w:type="dxa"/>
            <w:tcBorders>
              <w:top w:val="single" w:sz="18" w:space="0" w:color="707070"/>
              <w:left w:val="single" w:sz="4" w:space="0" w:color="auto"/>
              <w:bottom w:val="single" w:sz="4" w:space="0" w:color="auto"/>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60DBFEB1" w14:textId="56C8C7D0" w:rsidR="00BD7424" w:rsidRPr="004E32D7" w:rsidRDefault="00DA77CB" w:rsidP="004E32D7">
            <w:pPr>
              <w:keepNext/>
              <w:keepLines/>
              <w:spacing w:before="0" w:after="0" w:line="240" w:lineRule="auto"/>
              <w:ind w:left="10"/>
              <w:jc w:val="left"/>
              <w:rPr>
                <w:b/>
                <w:color w:val="000000"/>
                <w:sz w:val="20"/>
                <w:szCs w:val="20"/>
              </w:rPr>
            </w:pPr>
            <w:r w:rsidRPr="004E32D7">
              <w:rPr>
                <w:b/>
                <w:bCs/>
                <w:color w:val="000000"/>
                <w:sz w:val="20"/>
                <w:szCs w:val="20"/>
              </w:rPr>
              <w:t>Total</w:t>
            </w:r>
          </w:p>
        </w:tc>
        <w:tc>
          <w:tcPr>
            <w:tcW w:w="1379"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tcMar>
              <w:top w:w="43" w:type="dxa"/>
              <w:left w:w="81" w:type="dxa"/>
              <w:bottom w:w="22" w:type="dxa"/>
              <w:right w:w="81" w:type="dxa"/>
            </w:tcMar>
            <w:hideMark/>
          </w:tcPr>
          <w:p w14:paraId="72C6B3ED" w14:textId="77777777" w:rsidR="00BD7424" w:rsidRPr="00C46CCC" w:rsidRDefault="00BD7424" w:rsidP="008A77DD">
            <w:pPr>
              <w:keepNext/>
              <w:keepLines/>
              <w:spacing w:before="0" w:after="0" w:line="240" w:lineRule="auto"/>
              <w:jc w:val="center"/>
              <w:rPr>
                <w:color w:val="000000"/>
                <w:sz w:val="20"/>
                <w:szCs w:val="20"/>
              </w:rPr>
            </w:pPr>
            <w:r>
              <w:rPr>
                <w:color w:val="000000"/>
                <w:sz w:val="20"/>
                <w:szCs w:val="20"/>
              </w:rPr>
              <w:t>20</w:t>
            </w:r>
          </w:p>
        </w:tc>
        <w:tc>
          <w:tcPr>
            <w:tcW w:w="1557"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tcMar>
              <w:top w:w="43" w:type="dxa"/>
              <w:left w:w="81" w:type="dxa"/>
              <w:bottom w:w="22" w:type="dxa"/>
              <w:right w:w="81" w:type="dxa"/>
            </w:tcMar>
            <w:hideMark/>
          </w:tcPr>
          <w:p w14:paraId="4BF16CF4" w14:textId="77777777" w:rsidR="00BD7424" w:rsidRPr="00C46CCC" w:rsidRDefault="00BD7424" w:rsidP="008A77DD">
            <w:pPr>
              <w:keepNext/>
              <w:keepLines/>
              <w:spacing w:before="0" w:after="0" w:line="240" w:lineRule="auto"/>
              <w:ind w:left="18"/>
              <w:jc w:val="center"/>
              <w:rPr>
                <w:color w:val="000000"/>
                <w:sz w:val="20"/>
                <w:szCs w:val="20"/>
              </w:rPr>
            </w:pPr>
            <w:r>
              <w:rPr>
                <w:color w:val="000000"/>
                <w:sz w:val="20"/>
                <w:szCs w:val="20"/>
              </w:rPr>
              <w:t>9</w:t>
            </w:r>
          </w:p>
        </w:tc>
        <w:tc>
          <w:tcPr>
            <w:tcW w:w="1186" w:type="dxa"/>
            <w:tcBorders>
              <w:top w:val="single" w:sz="18" w:space="0" w:color="707070"/>
              <w:left w:val="single" w:sz="12" w:space="0" w:color="FFFFFF" w:themeColor="background1"/>
              <w:bottom w:val="single" w:sz="4" w:space="0" w:color="auto"/>
              <w:right w:val="single" w:sz="4" w:space="0" w:color="auto"/>
            </w:tcBorders>
            <w:shd w:val="clear" w:color="auto" w:fill="FFFFFF" w:themeFill="background1"/>
            <w:tcMar>
              <w:top w:w="43" w:type="dxa"/>
              <w:left w:w="81" w:type="dxa"/>
              <w:bottom w:w="22" w:type="dxa"/>
              <w:right w:w="81" w:type="dxa"/>
            </w:tcMar>
            <w:hideMark/>
          </w:tcPr>
          <w:p w14:paraId="07EDAF2D" w14:textId="77777777" w:rsidR="00BD7424" w:rsidRPr="00C46CCC" w:rsidRDefault="00BD7424" w:rsidP="008A77DD">
            <w:pPr>
              <w:keepNext/>
              <w:keepLines/>
              <w:spacing w:before="0" w:after="0" w:line="240" w:lineRule="auto"/>
              <w:ind w:left="18"/>
              <w:jc w:val="center"/>
              <w:rPr>
                <w:color w:val="000000"/>
                <w:sz w:val="20"/>
                <w:szCs w:val="20"/>
              </w:rPr>
            </w:pPr>
            <w:r w:rsidRPr="00C46CCC">
              <w:rPr>
                <w:b/>
                <w:color w:val="000000"/>
                <w:sz w:val="20"/>
                <w:szCs w:val="20"/>
              </w:rPr>
              <w:t>29</w:t>
            </w:r>
          </w:p>
        </w:tc>
        <w:tc>
          <w:tcPr>
            <w:tcW w:w="1369" w:type="dxa"/>
            <w:tcBorders>
              <w:top w:val="single" w:sz="18" w:space="0" w:color="707070"/>
              <w:left w:val="single" w:sz="12" w:space="0" w:color="FFFFFF" w:themeColor="background1"/>
              <w:bottom w:val="single" w:sz="4" w:space="0" w:color="auto"/>
              <w:right w:val="single" w:sz="4" w:space="0" w:color="auto"/>
            </w:tcBorders>
            <w:shd w:val="clear" w:color="auto" w:fill="FFFFFF" w:themeFill="background1"/>
          </w:tcPr>
          <w:p w14:paraId="4465FF5B" w14:textId="6F7ACA7A" w:rsidR="00BD7424" w:rsidRPr="00C46CCC" w:rsidRDefault="00BD7424" w:rsidP="008A77DD">
            <w:pPr>
              <w:keepNext/>
              <w:keepLines/>
              <w:spacing w:before="0" w:after="0" w:line="240" w:lineRule="auto"/>
              <w:ind w:left="18"/>
              <w:jc w:val="center"/>
              <w:rPr>
                <w:b/>
                <w:color w:val="000000"/>
                <w:sz w:val="20"/>
                <w:szCs w:val="20"/>
              </w:rPr>
            </w:pPr>
            <w:r>
              <w:rPr>
                <w:b/>
                <w:color w:val="000000"/>
                <w:sz w:val="20"/>
                <w:szCs w:val="20"/>
              </w:rPr>
              <w:t>12</w:t>
            </w:r>
          </w:p>
        </w:tc>
      </w:tr>
    </w:tbl>
    <w:p w14:paraId="4CC05B7B" w14:textId="4B3A1850" w:rsidR="002E0878" w:rsidRPr="00437047" w:rsidRDefault="00FA0842" w:rsidP="00437047">
      <w:pPr>
        <w:pStyle w:val="Heading3"/>
      </w:pPr>
      <w:bookmarkStart w:id="35" w:name="_Toc117253472"/>
      <w:bookmarkStart w:id="36" w:name="_Toc130201003"/>
      <w:bookmarkStart w:id="37" w:name="_Toc188252321"/>
      <w:bookmarkEnd w:id="32"/>
      <w:r w:rsidRPr="00437047">
        <w:t>2.2.1</w:t>
      </w:r>
      <w:r w:rsidRPr="00437047">
        <w:tab/>
      </w:r>
      <w:r w:rsidR="009053C7" w:rsidRPr="00437047">
        <w:t>Federal CCR Rule Revisions (40 CFR 257)</w:t>
      </w:r>
      <w:bookmarkEnd w:id="35"/>
      <w:bookmarkEnd w:id="36"/>
      <w:bookmarkEnd w:id="37"/>
    </w:p>
    <w:p w14:paraId="296852FF" w14:textId="0293D482" w:rsidR="005842A8" w:rsidRPr="005842A8" w:rsidRDefault="00FB78BA" w:rsidP="009A4A30">
      <w:r w:rsidRPr="7A0C2078">
        <w:t>Ash ponds were designed, installed, and operated to function as a treatment system for power plant wastewaters</w:t>
      </w:r>
      <w:r w:rsidR="00A34B93">
        <w:t xml:space="preserve"> under the NPDES permit program</w:t>
      </w:r>
      <w:r w:rsidRPr="7A0C2078">
        <w:t xml:space="preserve">, and effectively served </w:t>
      </w:r>
      <w:r w:rsidR="00F274F8">
        <w:t>as the industry standard for such treatment</w:t>
      </w:r>
      <w:r w:rsidR="007C14B7">
        <w:t xml:space="preserve"> </w:t>
      </w:r>
      <w:r w:rsidRPr="7A0C2078">
        <w:t>for decades</w:t>
      </w:r>
      <w:r w:rsidR="00A34B93">
        <w:t>.</w:t>
      </w:r>
      <w:r w:rsidRPr="7A0C2078">
        <w:t xml:space="preserve"> </w:t>
      </w:r>
      <w:r w:rsidR="000F7CDC">
        <w:t xml:space="preserve">Regulation of ash ponds </w:t>
      </w:r>
      <w:r w:rsidR="00D21ACC">
        <w:t xml:space="preserve">and CCR </w:t>
      </w:r>
      <w:r w:rsidR="000F7CDC">
        <w:t>change</w:t>
      </w:r>
      <w:r w:rsidR="00D21ACC">
        <w:t>d</w:t>
      </w:r>
      <w:r w:rsidR="000F7CDC">
        <w:t xml:space="preserve"> i</w:t>
      </w:r>
      <w:r w:rsidR="005842A8" w:rsidRPr="005842A8">
        <w:t xml:space="preserve">n April 2015, </w:t>
      </w:r>
      <w:r w:rsidR="000F7CDC">
        <w:t xml:space="preserve">when </w:t>
      </w:r>
      <w:r w:rsidR="005842A8" w:rsidRPr="005842A8">
        <w:t>EPA published</w:t>
      </w:r>
      <w:r w:rsidR="0060781E">
        <w:t xml:space="preserve"> the</w:t>
      </w:r>
      <w:r w:rsidR="005842A8" w:rsidRPr="005842A8">
        <w:t xml:space="preserve"> </w:t>
      </w:r>
      <w:r w:rsidR="0060781E" w:rsidRPr="0060781E">
        <w:t xml:space="preserve">Hazardous and Solid Waste Management System; Disposal of Coal Combustion Residuals </w:t>
      </w:r>
      <w:proofErr w:type="gramStart"/>
      <w:r w:rsidR="0060781E" w:rsidRPr="0060781E">
        <w:t>From</w:t>
      </w:r>
      <w:proofErr w:type="gramEnd"/>
      <w:r w:rsidR="0060781E" w:rsidRPr="0060781E">
        <w:t xml:space="preserve"> Electric Utilities</w:t>
      </w:r>
      <w:r w:rsidR="0060781E">
        <w:t xml:space="preserve"> final </w:t>
      </w:r>
      <w:r w:rsidR="00182966">
        <w:t>rule,</w:t>
      </w:r>
      <w:r w:rsidR="0060781E" w:rsidRPr="0060781E" w:rsidDel="0060781E">
        <w:t xml:space="preserve"> </w:t>
      </w:r>
      <w:r w:rsidR="005842A8" w:rsidRPr="005842A8">
        <w:t>(“Federal CCR Rule</w:t>
      </w:r>
      <w:r w:rsidR="005842A8">
        <w:t>”)</w:t>
      </w:r>
      <w:r w:rsidR="6AEEE2FE">
        <w:t>,</w:t>
      </w:r>
      <w:r w:rsidR="005842A8" w:rsidRPr="005842A8">
        <w:t xml:space="preserve"> that provided a comprehensive set of requirements for the disposal of CCR as </w:t>
      </w:r>
      <w:r w:rsidR="006D056C">
        <w:t xml:space="preserve">a </w:t>
      </w:r>
      <w:r w:rsidR="005842A8" w:rsidRPr="005842A8">
        <w:t>solid waste under RCRA.</w:t>
      </w:r>
      <w:r w:rsidR="007C14B7">
        <w:t xml:space="preserve"> </w:t>
      </w:r>
      <w:r w:rsidR="005842A8" w:rsidRPr="005842A8">
        <w:t>Th</w:t>
      </w:r>
      <w:r w:rsidR="0009722C">
        <w:t>rough this rulemaking</w:t>
      </w:r>
      <w:r w:rsidR="002D07EC">
        <w:t xml:space="preserve"> and based on </w:t>
      </w:r>
      <w:r w:rsidR="00DE1697">
        <w:t xml:space="preserve">extensive </w:t>
      </w:r>
      <w:r w:rsidR="002D07EC" w:rsidRPr="005842A8">
        <w:t>stud</w:t>
      </w:r>
      <w:r w:rsidR="002D07EC">
        <w:t>ies</w:t>
      </w:r>
      <w:r w:rsidR="00F82F58">
        <w:t>,</w:t>
      </w:r>
      <w:r w:rsidR="0009722C">
        <w:t xml:space="preserve"> EPA </w:t>
      </w:r>
      <w:r w:rsidR="008D78E3">
        <w:t>con</w:t>
      </w:r>
      <w:r w:rsidR="00490D4F">
        <w:t xml:space="preserve">firmed </w:t>
      </w:r>
      <w:r w:rsidR="005842A8" w:rsidRPr="005842A8">
        <w:t xml:space="preserve">decades of previous Agency determinations that coal ash should be regulated as non-hazardous waste. </w:t>
      </w:r>
      <w:r w:rsidR="00E52A4F">
        <w:t>T</w:t>
      </w:r>
      <w:r w:rsidR="005842A8" w:rsidRPr="005842A8">
        <w:t xml:space="preserve">he Federal CCR Rule was issued as a “self-implementing” rule that set national minimum standards for management of </w:t>
      </w:r>
      <w:r w:rsidR="0050667D">
        <w:t>coal ash and gypsum</w:t>
      </w:r>
      <w:r w:rsidR="005842A8" w:rsidRPr="005842A8">
        <w:t>.</w:t>
      </w:r>
      <w:r w:rsidR="007C14B7">
        <w:t xml:space="preserve"> </w:t>
      </w:r>
    </w:p>
    <w:p w14:paraId="74828676" w14:textId="5EC09775" w:rsidR="005842A8" w:rsidRPr="006F153E" w:rsidRDefault="005842A8" w:rsidP="009A4A30">
      <w:r w:rsidRPr="005842A8">
        <w:t xml:space="preserve">The </w:t>
      </w:r>
      <w:r w:rsidR="00BE6155">
        <w:t xml:space="preserve">2015 </w:t>
      </w:r>
      <w:r w:rsidRPr="005842A8">
        <w:t>Federal CCR Rule set standards for certain CCR units and provided exemptions for others.</w:t>
      </w:r>
      <w:r w:rsidR="007C14B7">
        <w:t xml:space="preserve"> </w:t>
      </w:r>
      <w:r w:rsidRPr="005842A8">
        <w:t xml:space="preserve">Those </w:t>
      </w:r>
      <w:r w:rsidR="00BB7A7B">
        <w:t xml:space="preserve">CCR </w:t>
      </w:r>
      <w:r w:rsidRPr="005842A8">
        <w:t>units subject to the Federal CCR Rule include</w:t>
      </w:r>
      <w:r w:rsidR="00443529">
        <w:t xml:space="preserve"> the following</w:t>
      </w:r>
      <w:r w:rsidR="0024304D">
        <w:t>:</w:t>
      </w:r>
      <w:r w:rsidR="006E6F2D">
        <w:t xml:space="preserve"> </w:t>
      </w:r>
      <w:r w:rsidR="007B6F92" w:rsidRPr="006E6F2D">
        <w:rPr>
          <w:rFonts w:cstheme="minorHAnsi"/>
          <w:szCs w:val="20"/>
        </w:rPr>
        <w:t xml:space="preserve">new and existing CCR landfills and surface impoundments (ash ponds), including any </w:t>
      </w:r>
      <w:r w:rsidR="007B6F92" w:rsidRPr="006E6F2D">
        <w:rPr>
          <w:rFonts w:cstheme="minorHAnsi"/>
        </w:rPr>
        <w:t>lateral expansions of such units</w:t>
      </w:r>
      <w:r w:rsidR="00DB2172">
        <w:rPr>
          <w:rFonts w:cstheme="minorHAnsi"/>
        </w:rPr>
        <w:t>,</w:t>
      </w:r>
      <w:r w:rsidR="007B6F92" w:rsidRPr="006E6F2D">
        <w:rPr>
          <w:rFonts w:cstheme="minorHAnsi"/>
        </w:rPr>
        <w:t xml:space="preserve"> and inactive surface impoundments located at active electric generating facilities.</w:t>
      </w:r>
      <w:r w:rsidR="006F153E">
        <w:t xml:space="preserve"> </w:t>
      </w:r>
      <w:r w:rsidR="00F01F8A">
        <w:t xml:space="preserve">The </w:t>
      </w:r>
      <w:r w:rsidR="007B6F92">
        <w:t>Federal CCR Rule include</w:t>
      </w:r>
      <w:r w:rsidR="00741EF4">
        <w:t>d</w:t>
      </w:r>
      <w:r w:rsidR="00F01F8A">
        <w:t xml:space="preserve"> exemptions from all or portions of the requirements for various units or activities, including</w:t>
      </w:r>
      <w:r w:rsidR="007B6F92" w:rsidRPr="00741EF4">
        <w:rPr>
          <w:rFonts w:cstheme="minorHAnsi"/>
          <w:szCs w:val="20"/>
        </w:rPr>
        <w:t xml:space="preserve"> CCR landfills that ceased receiving CCR prior to October 19, 2015</w:t>
      </w:r>
      <w:r w:rsidR="00E97D11">
        <w:rPr>
          <w:rFonts w:cstheme="minorHAnsi"/>
          <w:szCs w:val="20"/>
        </w:rPr>
        <w:t>;</w:t>
      </w:r>
      <w:r w:rsidR="00741EF4">
        <w:rPr>
          <w:rFonts w:cstheme="minorHAnsi"/>
          <w:szCs w:val="20"/>
        </w:rPr>
        <w:t xml:space="preserve"> </w:t>
      </w:r>
      <w:r w:rsidR="007B6F92" w:rsidRPr="003A1275">
        <w:rPr>
          <w:rFonts w:cstheme="minorHAnsi"/>
          <w:szCs w:val="20"/>
        </w:rPr>
        <w:t>practices that meet the definition of a beneficial use of CCR</w:t>
      </w:r>
      <w:r w:rsidR="00741EF4">
        <w:rPr>
          <w:rFonts w:cstheme="minorHAnsi"/>
          <w:szCs w:val="20"/>
        </w:rPr>
        <w:t>;</w:t>
      </w:r>
      <w:r w:rsidR="007B6F92" w:rsidRPr="003A1275">
        <w:rPr>
          <w:rFonts w:cstheme="minorHAnsi"/>
          <w:szCs w:val="20"/>
        </w:rPr>
        <w:t xml:space="preserve"> municipal solid waste landfills that receive CCR</w:t>
      </w:r>
      <w:r w:rsidR="004A47C7">
        <w:rPr>
          <w:rFonts w:cstheme="minorHAnsi"/>
          <w:szCs w:val="20"/>
        </w:rPr>
        <w:t>;</w:t>
      </w:r>
      <w:r w:rsidR="00F01F8A">
        <w:rPr>
          <w:rFonts w:cstheme="minorHAnsi"/>
          <w:szCs w:val="20"/>
        </w:rPr>
        <w:t xml:space="preserve"> </w:t>
      </w:r>
      <w:r w:rsidR="007B6F92" w:rsidRPr="00F01F8A">
        <w:rPr>
          <w:rFonts w:cstheme="minorHAnsi"/>
          <w:szCs w:val="20"/>
        </w:rPr>
        <w:t>inactive surface impoundments that closed within three years (the “three-year closure” exemption)</w:t>
      </w:r>
      <w:r w:rsidR="004A47C7">
        <w:rPr>
          <w:rFonts w:cstheme="minorHAnsi"/>
          <w:szCs w:val="20"/>
        </w:rPr>
        <w:t>;</w:t>
      </w:r>
      <w:r w:rsidR="00DD791A">
        <w:rPr>
          <w:rFonts w:cstheme="minorHAnsi"/>
          <w:szCs w:val="20"/>
        </w:rPr>
        <w:t xml:space="preserve"> a</w:t>
      </w:r>
      <w:r w:rsidR="00CA0B48">
        <w:rPr>
          <w:rFonts w:cstheme="minorHAnsi"/>
          <w:szCs w:val="20"/>
        </w:rPr>
        <w:t>n</w:t>
      </w:r>
      <w:r w:rsidR="00DD791A">
        <w:rPr>
          <w:rFonts w:cstheme="minorHAnsi"/>
          <w:szCs w:val="20"/>
        </w:rPr>
        <w:t xml:space="preserve">d </w:t>
      </w:r>
      <w:r w:rsidR="007B6F92" w:rsidRPr="00DD791A">
        <w:rPr>
          <w:rFonts w:cstheme="minorHAnsi"/>
          <w:szCs w:val="20"/>
        </w:rPr>
        <w:t>CCR units located at sites that ceased generating electricity, regardless of the fuel type, as of October 19, 2015.</w:t>
      </w:r>
    </w:p>
    <w:p w14:paraId="61348B95" w14:textId="273B1731" w:rsidR="0020738C" w:rsidRDefault="0020738C" w:rsidP="009A4A30">
      <w:bookmarkStart w:id="38" w:name="_Hlk530495719"/>
      <w:r w:rsidRPr="53ADDA6E">
        <w:t xml:space="preserve">For regulated units, </w:t>
      </w:r>
      <w:r>
        <w:t xml:space="preserve">the </w:t>
      </w:r>
      <w:r w:rsidR="00FC7BF0">
        <w:t xml:space="preserve">Federal </w:t>
      </w:r>
      <w:r w:rsidR="00FC7BF0" w:rsidRPr="53ADDA6E">
        <w:t>CCR</w:t>
      </w:r>
      <w:r>
        <w:t xml:space="preserve"> </w:t>
      </w:r>
      <w:r w:rsidR="00FC7BF0">
        <w:t>Rule</w:t>
      </w:r>
      <w:r>
        <w:t xml:space="preserve"> established a comprehensive set of compliance requirements related to location and siting criteria</w:t>
      </w:r>
      <w:r w:rsidR="00CD7186">
        <w:t>,</w:t>
      </w:r>
      <w:r>
        <w:t xml:space="preserve"> design and operating criteria</w:t>
      </w:r>
      <w:r w:rsidR="00CD7186">
        <w:t>,</w:t>
      </w:r>
      <w:r>
        <w:t xml:space="preserve"> groundwater monitoring and corrective action requirements</w:t>
      </w:r>
      <w:r w:rsidR="00CD7186">
        <w:t>,</w:t>
      </w:r>
      <w:r>
        <w:t xml:space="preserve"> structural integrity requirements</w:t>
      </w:r>
      <w:r w:rsidR="00CD7186">
        <w:t>,</w:t>
      </w:r>
      <w:r>
        <w:t xml:space="preserve"> closure and post-</w:t>
      </w:r>
      <w:r>
        <w:lastRenderedPageBreak/>
        <w:t>closure care requirements</w:t>
      </w:r>
      <w:r w:rsidR="00CD7186">
        <w:t>,</w:t>
      </w:r>
      <w:r>
        <w:t xml:space="preserve"> a range of reporting and recordkeeping requirements</w:t>
      </w:r>
      <w:r w:rsidR="005806A5">
        <w:t>,</w:t>
      </w:r>
      <w:r>
        <w:t xml:space="preserve"> and posting of information to </w:t>
      </w:r>
      <w:r w:rsidR="00BA63AA">
        <w:t>a publicly available CCR website</w:t>
      </w:r>
      <w:r>
        <w:t>. Failure to demonstrate compliance with certain criteria by specified deadlines result</w:t>
      </w:r>
      <w:r w:rsidR="00460928">
        <w:t>ed</w:t>
      </w:r>
      <w:r>
        <w:t xml:space="preserve"> in required closure of the CCR unit</w:t>
      </w:r>
      <w:r w:rsidR="0022509C">
        <w:t xml:space="preserve">, with </w:t>
      </w:r>
      <w:r w:rsidR="00B002A5">
        <w:t xml:space="preserve">specific requirements around closure </w:t>
      </w:r>
      <w:r w:rsidR="0022509C">
        <w:t>t</w:t>
      </w:r>
      <w:r>
        <w:t>imeframes and methods.</w:t>
      </w:r>
      <w:r w:rsidR="007C14B7">
        <w:t xml:space="preserve"> </w:t>
      </w:r>
      <w:r w:rsidRPr="00AE038A">
        <w:rPr>
          <w:szCs w:val="24"/>
        </w:rPr>
        <w:t xml:space="preserve">The </w:t>
      </w:r>
      <w:r w:rsidR="0018376E">
        <w:rPr>
          <w:szCs w:val="24"/>
        </w:rPr>
        <w:t>F</w:t>
      </w:r>
      <w:r w:rsidRPr="00AE038A">
        <w:rPr>
          <w:szCs w:val="24"/>
        </w:rPr>
        <w:t>ederal CCR Rule explicitly authorize</w:t>
      </w:r>
      <w:r w:rsidR="00655881">
        <w:rPr>
          <w:szCs w:val="24"/>
        </w:rPr>
        <w:t>d</w:t>
      </w:r>
      <w:r w:rsidRPr="00AE038A">
        <w:rPr>
          <w:szCs w:val="24"/>
        </w:rPr>
        <w:t xml:space="preserve"> both closure in place and closure by removal as options, with each option subject to its own set of closure performance criteria.</w:t>
      </w:r>
      <w:r w:rsidRPr="00AE038A">
        <w:rPr>
          <w:sz w:val="17"/>
          <w:szCs w:val="17"/>
        </w:rPr>
        <w:t xml:space="preserve"> </w:t>
      </w:r>
      <w:r w:rsidRPr="53ADDA6E">
        <w:t>The rule allow</w:t>
      </w:r>
      <w:r w:rsidR="00361E45">
        <w:t>ed</w:t>
      </w:r>
      <w:r w:rsidRPr="53ADDA6E">
        <w:t xml:space="preserve"> for</w:t>
      </w:r>
      <w:r w:rsidR="006F179B">
        <w:t xml:space="preserve"> extensions for</w:t>
      </w:r>
      <w:r w:rsidRPr="53ADDA6E">
        <w:t xml:space="preserve"> surface impoundments to continue to receive CCR for a limited amount of time if </w:t>
      </w:r>
      <w:r w:rsidR="009F2BBD">
        <w:t xml:space="preserve">alternative </w:t>
      </w:r>
      <w:r>
        <w:t>options are</w:t>
      </w:r>
      <w:r w:rsidRPr="53ADDA6E">
        <w:t xml:space="preserve"> not </w:t>
      </w:r>
      <w:r>
        <w:t>available</w:t>
      </w:r>
      <w:r w:rsidRPr="53ADDA6E">
        <w:t xml:space="preserve"> without </w:t>
      </w:r>
      <w:r>
        <w:t xml:space="preserve">the existence of that </w:t>
      </w:r>
      <w:r w:rsidR="009F2BBD">
        <w:t xml:space="preserve">CCR </w:t>
      </w:r>
      <w:r>
        <w:t>unit</w:t>
      </w:r>
      <w:r w:rsidRPr="53ADDA6E">
        <w:t xml:space="preserve">. </w:t>
      </w:r>
      <w:bookmarkEnd w:id="38"/>
    </w:p>
    <w:p w14:paraId="3002CE65" w14:textId="3998969A" w:rsidR="002448AA" w:rsidRDefault="002448AA" w:rsidP="009A4A30">
      <w:r>
        <w:t>Since the original publication of the Federal CCR Rule, there have been several developments related to litigation, administration policy changes</w:t>
      </w:r>
      <w:r w:rsidR="006247C6">
        <w:t>,</w:t>
      </w:r>
      <w:r>
        <w:t xml:space="preserve"> or legislative actions that amend</w:t>
      </w:r>
      <w:r w:rsidR="006247C6">
        <w:t>ed</w:t>
      </w:r>
      <w:r>
        <w:t xml:space="preserve"> the </w:t>
      </w:r>
      <w:r w:rsidR="00B655F4">
        <w:t xml:space="preserve">requirements </w:t>
      </w:r>
      <w:r>
        <w:t>or change</w:t>
      </w:r>
      <w:r w:rsidR="00B655F4">
        <w:t>d</w:t>
      </w:r>
      <w:r>
        <w:t xml:space="preserve"> how the </w:t>
      </w:r>
      <w:r w:rsidR="00B655F4">
        <w:t xml:space="preserve">rule </w:t>
      </w:r>
      <w:r>
        <w:t>is enforced</w:t>
      </w:r>
      <w:r w:rsidR="00AC3E0E">
        <w:t>, as discussed below</w:t>
      </w:r>
      <w:r>
        <w:t xml:space="preserve">. </w:t>
      </w:r>
    </w:p>
    <w:p w14:paraId="4ECE590A" w14:textId="50C7B9B8" w:rsidR="00CC5242" w:rsidRPr="0020563C" w:rsidRDefault="00CC5242" w:rsidP="0020563C">
      <w:pPr>
        <w:pStyle w:val="Smallheading3notoc"/>
      </w:pPr>
      <w:r w:rsidRPr="004E32D7">
        <w:t>Federal CCR Rule Revisions: 2015 Litigation and 2016 Settlement Agreement</w:t>
      </w:r>
    </w:p>
    <w:p w14:paraId="16398A3F" w14:textId="2E7E3456" w:rsidR="002448AA" w:rsidRPr="006D14DF" w:rsidRDefault="002448AA" w:rsidP="009A4A30">
      <w:pPr>
        <w:rPr>
          <w:rFonts w:eastAsia="Calibri"/>
          <w:color w:val="000000" w:themeColor="text1"/>
        </w:rPr>
      </w:pPr>
      <w:r w:rsidRPr="00DB7156">
        <w:t xml:space="preserve">In </w:t>
      </w:r>
      <w:r>
        <w:t>December</w:t>
      </w:r>
      <w:r w:rsidRPr="00DB7156">
        <w:t xml:space="preserve"> 2015, several parties, including industry and environmental groups filed legal challenges to </w:t>
      </w:r>
      <w:r>
        <w:t>the Federal CCR Rule</w:t>
      </w:r>
      <w:r w:rsidR="00911FBB">
        <w:t>.</w:t>
      </w:r>
      <w:r>
        <w:t xml:space="preserve"> </w:t>
      </w:r>
      <w:r w:rsidR="00911FBB">
        <w:t>I</w:t>
      </w:r>
      <w:r w:rsidRPr="00DB7156">
        <w:t>n June 2016, the D.C. Circuit Court approved a settlement addressing several</w:t>
      </w:r>
      <w:r w:rsidRPr="7C536393">
        <w:t>, but not all,</w:t>
      </w:r>
      <w:r w:rsidRPr="00DB7156">
        <w:t xml:space="preserve"> issues that were raised in the CCR litigation. </w:t>
      </w:r>
      <w:r>
        <w:t>As</w:t>
      </w:r>
      <w:r w:rsidRPr="00DB7156">
        <w:t xml:space="preserve"> part of the settlement, the court vacated the three-year closure exemption for inactive surface impoundments</w:t>
      </w:r>
      <w:r w:rsidR="009C3A9C">
        <w:rPr>
          <w:rFonts w:eastAsia="Calibri"/>
          <w:color w:val="000000" w:themeColor="text1"/>
        </w:rPr>
        <w:t xml:space="preserve">, and </w:t>
      </w:r>
      <w:r w:rsidR="009C3A9C" w:rsidRPr="664ED54E">
        <w:rPr>
          <w:rFonts w:eastAsia="Calibri"/>
          <w:color w:val="000000" w:themeColor="text1"/>
        </w:rPr>
        <w:t>EPA</w:t>
      </w:r>
      <w:r w:rsidR="009C3A9C" w:rsidRPr="3903B92C">
        <w:rPr>
          <w:rFonts w:eastAsia="Calibri"/>
          <w:color w:val="000000" w:themeColor="text1"/>
        </w:rPr>
        <w:t xml:space="preserve"> agreed to finalize rulemaking to address </w:t>
      </w:r>
      <w:proofErr w:type="gramStart"/>
      <w:r w:rsidR="009C3A9C" w:rsidRPr="3903B92C">
        <w:rPr>
          <w:rFonts w:eastAsia="Calibri"/>
          <w:color w:val="000000" w:themeColor="text1"/>
        </w:rPr>
        <w:t>a number of</w:t>
      </w:r>
      <w:proofErr w:type="gramEnd"/>
      <w:r w:rsidR="009C3A9C" w:rsidRPr="3903B92C">
        <w:rPr>
          <w:rFonts w:eastAsia="Calibri"/>
          <w:color w:val="000000" w:themeColor="text1"/>
        </w:rPr>
        <w:t xml:space="preserve"> technical issues</w:t>
      </w:r>
      <w:r>
        <w:t xml:space="preserve">. </w:t>
      </w:r>
      <w:r w:rsidR="006D14DF" w:rsidRPr="3903B92C">
        <w:rPr>
          <w:rFonts w:eastAsia="Calibri"/>
          <w:color w:val="000000" w:themeColor="text1"/>
        </w:rPr>
        <w:t>For the three-year closure</w:t>
      </w:r>
      <w:r w:rsidR="00591BD3" w:rsidRPr="3903B92C">
        <w:rPr>
          <w:rFonts w:eastAsia="Calibri"/>
          <w:color w:val="000000" w:themeColor="text1"/>
        </w:rPr>
        <w:t xml:space="preserve"> exemption, i</w:t>
      </w:r>
      <w:r w:rsidRPr="53ADDA6E">
        <w:t xml:space="preserve">n August 2016, EPA </w:t>
      </w:r>
      <w:r w:rsidR="00591BD3">
        <w:t>finalized a</w:t>
      </w:r>
      <w:r w:rsidR="00112F42">
        <w:t xml:space="preserve"> roughly 1.5</w:t>
      </w:r>
      <w:r w:rsidR="00DE2A48">
        <w:t>-</w:t>
      </w:r>
      <w:r w:rsidR="00112F42">
        <w:t xml:space="preserve">year </w:t>
      </w:r>
      <w:r w:rsidR="00591BD3">
        <w:t xml:space="preserve">extension of </w:t>
      </w:r>
      <w:r w:rsidRPr="53ADDA6E">
        <w:t xml:space="preserve">certain compliance dates for ash ponds that </w:t>
      </w:r>
      <w:r w:rsidR="00CC49A3">
        <w:t>were to</w:t>
      </w:r>
      <w:r>
        <w:t xml:space="preserve"> close within </w:t>
      </w:r>
      <w:r w:rsidR="001A00D9">
        <w:t>three</w:t>
      </w:r>
      <w:r>
        <w:t xml:space="preserve"> years</w:t>
      </w:r>
      <w:r w:rsidRPr="53ADDA6E">
        <w:t xml:space="preserve"> </w:t>
      </w:r>
      <w:r w:rsidR="0036121A">
        <w:t>under the 2015 Federal CCR Rule</w:t>
      </w:r>
      <w:r w:rsidRPr="53ADDA6E">
        <w:t xml:space="preserve">. </w:t>
      </w:r>
    </w:p>
    <w:p w14:paraId="2DD65216" w14:textId="646EA28A" w:rsidR="00AC3E0E" w:rsidRPr="0020563C" w:rsidRDefault="00AC3E0E" w:rsidP="0020563C">
      <w:pPr>
        <w:pStyle w:val="Smallheading3notoc"/>
      </w:pPr>
      <w:r w:rsidRPr="004E32D7">
        <w:t>Federal CCR Rule Revisions: 2017 Petition for Reconsideration</w:t>
      </w:r>
      <w:r w:rsidR="005A42C5" w:rsidRPr="004E32D7">
        <w:t>, Phase One and Two Amendments</w:t>
      </w:r>
    </w:p>
    <w:p w14:paraId="35E37E30" w14:textId="126B68B5" w:rsidR="00516DEC" w:rsidRDefault="00C8727F" w:rsidP="009A4A30">
      <w:r>
        <w:t xml:space="preserve">In September 2017, EPA granted </w:t>
      </w:r>
      <w:r w:rsidR="00A64FAB">
        <w:t>a Petition for Reconsideration of the Federal CCR Rule filed by the Utility Solid Waste Activities Group (“USWAG”)</w:t>
      </w:r>
      <w:r w:rsidR="00483B13">
        <w:t>, an industry group of which Georgia Power is a member</w:t>
      </w:r>
      <w:r>
        <w:t xml:space="preserve">. </w:t>
      </w:r>
      <w:r w:rsidR="00460C0E">
        <w:t xml:space="preserve">In November 2017, EPA outlined a phased approach to amending the Federal CCR Rule, </w:t>
      </w:r>
      <w:r w:rsidR="00253D42">
        <w:t xml:space="preserve">with intent to cover numerous technical requirements </w:t>
      </w:r>
      <w:r w:rsidR="005028DB">
        <w:t>with a Phase One and Phase Two rulemaking schedule</w:t>
      </w:r>
      <w:r w:rsidR="009402E6">
        <w:t>,</w:t>
      </w:r>
      <w:r w:rsidR="00253D42">
        <w:t xml:space="preserve"> </w:t>
      </w:r>
      <w:r w:rsidR="00460C0E">
        <w:t xml:space="preserve">and subsequently issued both Phase One and Phase Two proposed rulemakings. </w:t>
      </w:r>
    </w:p>
    <w:p w14:paraId="69573589" w14:textId="28B1A86D" w:rsidR="00460C0E" w:rsidRDefault="0001221E" w:rsidP="009A4A30">
      <w:pPr>
        <w:rPr>
          <w:rFonts w:eastAsia="Cambria"/>
        </w:rPr>
      </w:pPr>
      <w:r>
        <w:t xml:space="preserve">While the proposed </w:t>
      </w:r>
      <w:r w:rsidR="005028DB">
        <w:t>Phase One Rule</w:t>
      </w:r>
      <w:r>
        <w:t xml:space="preserve"> covered </w:t>
      </w:r>
      <w:r w:rsidR="00BC4FD1">
        <w:t>numerous</w:t>
      </w:r>
      <w:r>
        <w:t xml:space="preserve"> technical requirements, </w:t>
      </w:r>
      <w:r w:rsidR="00460C0E">
        <w:t>only a subset of these provisions w</w:t>
      </w:r>
      <w:r w:rsidR="00285731">
        <w:t>as</w:t>
      </w:r>
      <w:r w:rsidR="00460C0E">
        <w:t xml:space="preserve"> finalized</w:t>
      </w:r>
      <w:r w:rsidR="00BC4FD1">
        <w:t xml:space="preserve"> i</w:t>
      </w:r>
      <w:r w:rsidR="00460C0E">
        <w:t>n July 2018</w:t>
      </w:r>
      <w:r w:rsidR="00BC4FD1">
        <w:t xml:space="preserve"> with </w:t>
      </w:r>
      <w:r w:rsidR="00460C0E" w:rsidRPr="72049F6B">
        <w:rPr>
          <w:rFonts w:eastAsia="Cambria"/>
        </w:rPr>
        <w:t>Part One of the Phase One Amendments to the Federal CCR Rule (</w:t>
      </w:r>
      <w:r w:rsidR="00285731" w:rsidRPr="72049F6B">
        <w:rPr>
          <w:rFonts w:eastAsia="Cambria"/>
        </w:rPr>
        <w:t>“</w:t>
      </w:r>
      <w:r w:rsidR="00460C0E" w:rsidRPr="72049F6B">
        <w:rPr>
          <w:rFonts w:eastAsia="Cambria"/>
        </w:rPr>
        <w:t xml:space="preserve">Phase One, Part One </w:t>
      </w:r>
      <w:r w:rsidR="00285731" w:rsidRPr="72049F6B">
        <w:rPr>
          <w:rFonts w:eastAsia="Cambria"/>
        </w:rPr>
        <w:t>R</w:t>
      </w:r>
      <w:r w:rsidR="00460C0E" w:rsidRPr="72049F6B">
        <w:rPr>
          <w:rFonts w:eastAsia="Cambria"/>
        </w:rPr>
        <w:t>ule</w:t>
      </w:r>
      <w:r w:rsidR="00285731" w:rsidRPr="72049F6B">
        <w:rPr>
          <w:rFonts w:eastAsia="Cambria"/>
        </w:rPr>
        <w:t>”</w:t>
      </w:r>
      <w:r w:rsidR="00460C0E" w:rsidRPr="72049F6B">
        <w:rPr>
          <w:rFonts w:eastAsia="Cambria"/>
        </w:rPr>
        <w:t>)</w:t>
      </w:r>
      <w:r w:rsidR="00654DB2" w:rsidRPr="72049F6B">
        <w:rPr>
          <w:rFonts w:eastAsia="Cambria"/>
        </w:rPr>
        <w:t xml:space="preserve">. The </w:t>
      </w:r>
      <w:r w:rsidR="00AB56A3" w:rsidRPr="72049F6B">
        <w:rPr>
          <w:rFonts w:eastAsia="Cambria"/>
        </w:rPr>
        <w:t>Phase One,</w:t>
      </w:r>
      <w:r w:rsidR="00654DB2" w:rsidRPr="72049F6B">
        <w:rPr>
          <w:rFonts w:eastAsia="Cambria"/>
        </w:rPr>
        <w:t xml:space="preserve"> Part One Rule </w:t>
      </w:r>
      <w:r w:rsidR="00654DB2">
        <w:t>established groundwater protection standards for lithium, molybdenum, cobalt</w:t>
      </w:r>
      <w:r w:rsidR="00FE7423">
        <w:t>,</w:t>
      </w:r>
      <w:r w:rsidR="00654DB2">
        <w:t xml:space="preserve"> and lead</w:t>
      </w:r>
      <w:r w:rsidR="009A683A">
        <w:t xml:space="preserve"> and </w:t>
      </w:r>
      <w:r w:rsidR="00460C0E" w:rsidRPr="72049F6B">
        <w:rPr>
          <w:rFonts w:eastAsia="Cambria"/>
        </w:rPr>
        <w:t>extend</w:t>
      </w:r>
      <w:r w:rsidR="009A683A" w:rsidRPr="72049F6B">
        <w:rPr>
          <w:rFonts w:eastAsia="Cambria"/>
        </w:rPr>
        <w:t>ed</w:t>
      </w:r>
      <w:r w:rsidR="00460C0E" w:rsidRPr="72049F6B">
        <w:rPr>
          <w:rFonts w:eastAsia="Cambria"/>
        </w:rPr>
        <w:t xml:space="preserve"> the deadline to cease receipt of both CCR and non-CCR wastes to October 31, 2020</w:t>
      </w:r>
      <w:r w:rsidR="00DA1938" w:rsidRPr="72049F6B">
        <w:rPr>
          <w:rFonts w:eastAsia="Cambria"/>
        </w:rPr>
        <w:t>,</w:t>
      </w:r>
      <w:r w:rsidR="00CC6C9E" w:rsidRPr="72049F6B">
        <w:rPr>
          <w:rFonts w:eastAsia="Cambria"/>
        </w:rPr>
        <w:t xml:space="preserve"> under certain conditions</w:t>
      </w:r>
      <w:r w:rsidR="00460C0E" w:rsidRPr="72049F6B">
        <w:rPr>
          <w:rFonts w:eastAsia="Cambria"/>
        </w:rPr>
        <w:t xml:space="preserve">. </w:t>
      </w:r>
      <w:r w:rsidR="475DDB5D" w:rsidRPr="7F583C82">
        <w:rPr>
          <w:rFonts w:eastAsia="Cambria"/>
        </w:rPr>
        <w:t>As a result of</w:t>
      </w:r>
      <w:r w:rsidR="00573D93" w:rsidRPr="72049F6B">
        <w:rPr>
          <w:rFonts w:eastAsia="Cambria"/>
        </w:rPr>
        <w:t xml:space="preserve"> litigation</w:t>
      </w:r>
      <w:r w:rsidR="55861A08" w:rsidRPr="7F583C82">
        <w:rPr>
          <w:rFonts w:eastAsia="Cambria"/>
        </w:rPr>
        <w:t>, in March 2019</w:t>
      </w:r>
      <w:r w:rsidR="53AAB489" w:rsidRPr="7F583C82">
        <w:rPr>
          <w:rFonts w:eastAsia="Cambria"/>
        </w:rPr>
        <w:t>,</w:t>
      </w:r>
      <w:r w:rsidR="55861A08" w:rsidRPr="7F583C82">
        <w:rPr>
          <w:rFonts w:eastAsia="Cambria"/>
        </w:rPr>
        <w:t xml:space="preserve"> </w:t>
      </w:r>
      <w:r w:rsidR="00140D6D" w:rsidRPr="7F583C82">
        <w:rPr>
          <w:rFonts w:eastAsia="Cambria"/>
        </w:rPr>
        <w:t xml:space="preserve">the </w:t>
      </w:r>
      <w:r w:rsidR="00140D6D" w:rsidRPr="72049F6B">
        <w:rPr>
          <w:rFonts w:eastAsia="Cambria"/>
        </w:rPr>
        <w:t xml:space="preserve">D.C. Circuit </w:t>
      </w:r>
      <w:r w:rsidR="00140D6D" w:rsidRPr="7F583C82">
        <w:rPr>
          <w:rFonts w:eastAsia="Cambria"/>
        </w:rPr>
        <w:t>grant</w:t>
      </w:r>
      <w:r w:rsidR="1549DF6B" w:rsidRPr="7F583C82">
        <w:rPr>
          <w:rFonts w:eastAsia="Cambria"/>
        </w:rPr>
        <w:t>ed</w:t>
      </w:r>
      <w:r w:rsidR="00140D6D" w:rsidRPr="72049F6B">
        <w:rPr>
          <w:rFonts w:eastAsia="Cambria"/>
        </w:rPr>
        <w:t xml:space="preserve"> </w:t>
      </w:r>
      <w:r w:rsidR="00573D93" w:rsidRPr="72049F6B">
        <w:rPr>
          <w:rFonts w:eastAsia="Cambria"/>
        </w:rPr>
        <w:t>EPA</w:t>
      </w:r>
      <w:r w:rsidR="00140D6D" w:rsidRPr="72049F6B">
        <w:rPr>
          <w:rFonts w:eastAsia="Cambria"/>
        </w:rPr>
        <w:t>’s request to voluntarily review and revise the rule</w:t>
      </w:r>
      <w:r w:rsidR="00140D6D" w:rsidRPr="7F583C82">
        <w:rPr>
          <w:rFonts w:eastAsia="Cambria"/>
        </w:rPr>
        <w:t xml:space="preserve">, </w:t>
      </w:r>
      <w:r w:rsidR="66286F66" w:rsidRPr="7F583C82">
        <w:rPr>
          <w:rFonts w:eastAsia="Cambria"/>
        </w:rPr>
        <w:t xml:space="preserve">but </w:t>
      </w:r>
      <w:r w:rsidR="30D56804" w:rsidRPr="7F583C82">
        <w:rPr>
          <w:rFonts w:eastAsia="Cambria"/>
        </w:rPr>
        <w:t>i</w:t>
      </w:r>
      <w:r w:rsidR="00140D6D" w:rsidRPr="7F583C82">
        <w:rPr>
          <w:rFonts w:eastAsia="Cambria"/>
        </w:rPr>
        <w:t>t</w:t>
      </w:r>
      <w:r w:rsidR="00140D6D" w:rsidRPr="72049F6B">
        <w:rPr>
          <w:rFonts w:eastAsia="Cambria"/>
        </w:rPr>
        <w:t xml:space="preserve"> left the rule requirements in place in the meantime.</w:t>
      </w:r>
    </w:p>
    <w:p w14:paraId="58CD529F" w14:textId="75BDC1DC" w:rsidR="002448AA" w:rsidRDefault="00C73FE8" w:rsidP="009A4A30">
      <w:r>
        <w:t>I</w:t>
      </w:r>
      <w:r w:rsidR="00B54389" w:rsidRPr="00057E94">
        <w:t xml:space="preserve">n August 2019, </w:t>
      </w:r>
      <w:r w:rsidR="00B54389">
        <w:t>the</w:t>
      </w:r>
      <w:r w:rsidR="00B54389" w:rsidRPr="00057E94">
        <w:t xml:space="preserve"> EPA published the</w:t>
      </w:r>
      <w:r w:rsidR="00DF675C">
        <w:t xml:space="preserve"> Phase Two</w:t>
      </w:r>
      <w:r w:rsidR="00B54389" w:rsidRPr="00057E94">
        <w:t xml:space="preserve"> proposed </w:t>
      </w:r>
      <w:r w:rsidR="00DF675C">
        <w:t>amendments</w:t>
      </w:r>
      <w:r w:rsidR="006746EE">
        <w:t>, which</w:t>
      </w:r>
      <w:r w:rsidR="00B54389" w:rsidRPr="00057E94">
        <w:t xml:space="preserve"> address </w:t>
      </w:r>
      <w:r w:rsidR="00B54389">
        <w:t xml:space="preserve">criteria relating to </w:t>
      </w:r>
      <w:r w:rsidR="00B54389" w:rsidRPr="00057E94">
        <w:t>beneficial use</w:t>
      </w:r>
      <w:r w:rsidR="00B54389">
        <w:t xml:space="preserve"> practices</w:t>
      </w:r>
      <w:r w:rsidR="00B54389" w:rsidRPr="00057E94">
        <w:t xml:space="preserve">, proposes a </w:t>
      </w:r>
      <w:r w:rsidR="006A2932">
        <w:t xml:space="preserve">potential </w:t>
      </w:r>
      <w:r w:rsidR="00B54389">
        <w:t>b</w:t>
      </w:r>
      <w:r w:rsidR="00B54389" w:rsidRPr="00057E94">
        <w:t>oron groundwater protection standard</w:t>
      </w:r>
      <w:r w:rsidR="00B54389">
        <w:t>,</w:t>
      </w:r>
      <w:r w:rsidR="00B54389" w:rsidRPr="00057E94">
        <w:t xml:space="preserve"> and </w:t>
      </w:r>
      <w:r w:rsidR="00242D87">
        <w:t>requires</w:t>
      </w:r>
      <w:r w:rsidR="00B54389" w:rsidRPr="00057E94">
        <w:t xml:space="preserve"> groundwater data </w:t>
      </w:r>
      <w:r w:rsidR="00B54389">
        <w:t>and annual reports</w:t>
      </w:r>
      <w:r w:rsidR="00B54389" w:rsidRPr="00057E94">
        <w:t xml:space="preserve"> </w:t>
      </w:r>
      <w:r w:rsidR="00242D87">
        <w:t>to be m</w:t>
      </w:r>
      <w:r w:rsidR="00B54389" w:rsidRPr="00057E94">
        <w:t>ore accessible and transparent</w:t>
      </w:r>
      <w:r w:rsidR="00B54389">
        <w:t xml:space="preserve"> to the public</w:t>
      </w:r>
      <w:r w:rsidR="00B54389" w:rsidRPr="00057E94">
        <w:t>.</w:t>
      </w:r>
      <w:r w:rsidR="00B54389">
        <w:t xml:space="preserve"> In December 2020, the EPA </w:t>
      </w:r>
      <w:r w:rsidR="00EF59BC">
        <w:t xml:space="preserve">sought additional comment related to these proposed amendments, especially on </w:t>
      </w:r>
      <w:r w:rsidR="00B54389">
        <w:t>beneficial use processes</w:t>
      </w:r>
      <w:r w:rsidR="00C974CB">
        <w:t xml:space="preserve">, but </w:t>
      </w:r>
      <w:r w:rsidR="00460C0E">
        <w:t xml:space="preserve">has not </w:t>
      </w:r>
      <w:r w:rsidR="00C974CB">
        <w:t xml:space="preserve">yet </w:t>
      </w:r>
      <w:r w:rsidR="00460C0E">
        <w:t>taken final action.</w:t>
      </w:r>
      <w:r w:rsidR="007C14B7">
        <w:t xml:space="preserve"> </w:t>
      </w:r>
    </w:p>
    <w:p w14:paraId="5807C85E" w14:textId="1ACCAF3B" w:rsidR="00AC3E0E" w:rsidRPr="0020563C" w:rsidRDefault="00AC3E0E" w:rsidP="0020563C">
      <w:pPr>
        <w:pStyle w:val="Smallheading3notoc"/>
      </w:pPr>
      <w:r w:rsidRPr="004E32D7">
        <w:lastRenderedPageBreak/>
        <w:t>Federal CCR Rule Revisions: 201</w:t>
      </w:r>
      <w:r w:rsidR="00C86D5E" w:rsidRPr="004E32D7">
        <w:t>8 Litigation</w:t>
      </w:r>
      <w:r w:rsidR="005A42C5" w:rsidRPr="004E32D7">
        <w:t>, Part A and Part B Rulemakings</w:t>
      </w:r>
    </w:p>
    <w:p w14:paraId="5C3EDFB3" w14:textId="1E6009DC" w:rsidR="000D240E" w:rsidRPr="00F72E8D" w:rsidRDefault="00685FDE" w:rsidP="009A4A30">
      <w:pPr>
        <w:rPr>
          <w:sz w:val="24"/>
          <w:szCs w:val="24"/>
        </w:rPr>
      </w:pPr>
      <w:r>
        <w:t>I</w:t>
      </w:r>
      <w:r w:rsidR="000D240E">
        <w:t xml:space="preserve">n August 2018, the U.S. Court of Appeals for the D.C. Circuit issued a decision </w:t>
      </w:r>
      <w:r w:rsidR="00FE7423">
        <w:t>that:</w:t>
      </w:r>
      <w:r w:rsidR="000D240E">
        <w:t xml:space="preserve"> (1) vacat</w:t>
      </w:r>
      <w:r w:rsidR="00FE7423">
        <w:t>es</w:t>
      </w:r>
      <w:r w:rsidR="000D240E">
        <w:t xml:space="preserve"> an exemption from the </w:t>
      </w:r>
      <w:r w:rsidR="007C14B7">
        <w:t xml:space="preserve">Federal </w:t>
      </w:r>
      <w:r w:rsidR="000D240E">
        <w:t xml:space="preserve">CCR </w:t>
      </w:r>
      <w:r w:rsidR="007C14B7">
        <w:t xml:space="preserve">Rule </w:t>
      </w:r>
      <w:r w:rsidR="000D240E">
        <w:t xml:space="preserve">for inactive surface impoundments at inactive power plants; (2) </w:t>
      </w:r>
      <w:r w:rsidR="00FE7423">
        <w:t>require</w:t>
      </w:r>
      <w:r w:rsidR="00212B94">
        <w:t>s</w:t>
      </w:r>
      <w:r w:rsidR="00FE7423">
        <w:t xml:space="preserve"> </w:t>
      </w:r>
      <w:r w:rsidR="000D240E">
        <w:t xml:space="preserve">all unlined CCR surface impoundments to close, irrespective of whether the impoundments are meeting the rule’s groundwater protection standards; and (3) </w:t>
      </w:r>
      <w:r w:rsidR="00FE7423">
        <w:t xml:space="preserve">vacates </w:t>
      </w:r>
      <w:r w:rsidR="000D240E">
        <w:t xml:space="preserve">a provision that classified certain clay-lined impoundments as “lined,” meaning that all clay-lined impoundments are </w:t>
      </w:r>
      <w:r w:rsidR="00D0505D">
        <w:t xml:space="preserve">considered </w:t>
      </w:r>
      <w:r w:rsidR="000D240E">
        <w:t xml:space="preserve">unlined and must close. </w:t>
      </w:r>
      <w:r w:rsidR="00A66DA9">
        <w:t xml:space="preserve">As a result of the </w:t>
      </w:r>
      <w:r w:rsidR="184862E2">
        <w:t>c</w:t>
      </w:r>
      <w:r w:rsidR="00A66DA9">
        <w:t xml:space="preserve">ourt </w:t>
      </w:r>
      <w:r w:rsidR="008A63EF">
        <w:t>decision</w:t>
      </w:r>
      <w:r w:rsidR="00A66DA9">
        <w:t xml:space="preserve">, </w:t>
      </w:r>
      <w:r w:rsidR="000D240E">
        <w:t>EPA</w:t>
      </w:r>
      <w:r w:rsidR="00A66DA9">
        <w:t xml:space="preserve"> </w:t>
      </w:r>
      <w:r w:rsidR="008070BF">
        <w:t xml:space="preserve">was required </w:t>
      </w:r>
      <w:r w:rsidR="1CF0E71E">
        <w:t xml:space="preserve">to </w:t>
      </w:r>
      <w:r w:rsidR="000D240E">
        <w:t xml:space="preserve">revisit </w:t>
      </w:r>
      <w:r w:rsidR="003312E7">
        <w:t xml:space="preserve">certain </w:t>
      </w:r>
      <w:r w:rsidR="000D240E">
        <w:t xml:space="preserve">elements of the </w:t>
      </w:r>
      <w:r w:rsidR="007C14B7">
        <w:t>Federal</w:t>
      </w:r>
      <w:r w:rsidR="000D240E">
        <w:t xml:space="preserve"> CCR </w:t>
      </w:r>
      <w:r w:rsidR="007C14B7">
        <w:t>R</w:t>
      </w:r>
      <w:r w:rsidR="000D240E">
        <w:t>ule.</w:t>
      </w:r>
    </w:p>
    <w:p w14:paraId="281F2EB8" w14:textId="3812B0C5" w:rsidR="00F26A77" w:rsidRDefault="00AB6ACF" w:rsidP="009A4A30">
      <w:pPr>
        <w:rPr>
          <w:rFonts w:eastAsia="Times New Roman"/>
        </w:rPr>
      </w:pPr>
      <w:r>
        <w:rPr>
          <w:rStyle w:val="normaltextrun1"/>
          <w:rFonts w:cs="Arial"/>
        </w:rPr>
        <w:t>After</w:t>
      </w:r>
      <w:r w:rsidR="00F26A77" w:rsidRPr="2D3779CD">
        <w:rPr>
          <w:rStyle w:val="normaltextrun1"/>
          <w:rFonts w:cs="Arial"/>
        </w:rPr>
        <w:t xml:space="preserve"> </w:t>
      </w:r>
      <w:r w:rsidR="461566FC" w:rsidRPr="2D3779CD">
        <w:rPr>
          <w:rStyle w:val="normaltextrun1"/>
          <w:rFonts w:cs="Arial"/>
        </w:rPr>
        <w:t>the</w:t>
      </w:r>
      <w:r w:rsidR="00F26A77">
        <w:rPr>
          <w:rStyle w:val="normaltextrun1"/>
          <w:rFonts w:cs="Arial"/>
        </w:rPr>
        <w:t xml:space="preserve"> D.C. Circuit decision, EPA proposed two separate rulemakings to address certain issues</w:t>
      </w:r>
      <w:r w:rsidR="006A6052">
        <w:rPr>
          <w:rStyle w:val="normaltextrun1"/>
          <w:rFonts w:cs="Arial"/>
        </w:rPr>
        <w:t xml:space="preserve">, one titled </w:t>
      </w:r>
      <w:r w:rsidR="006A6052" w:rsidRPr="004237A2">
        <w:rPr>
          <w:rFonts w:eastAsia="Times New Roman"/>
        </w:rPr>
        <w:t>“</w:t>
      </w:r>
      <w:r w:rsidR="006A6052" w:rsidRPr="0AF8DB6F">
        <w:rPr>
          <w:rStyle w:val="normaltextrun1"/>
          <w:rFonts w:cs="Arial"/>
        </w:rPr>
        <w:t>A</w:t>
      </w:r>
      <w:r w:rsidR="006A6052" w:rsidRPr="0084296F">
        <w:rPr>
          <w:rStyle w:val="normaltextrun1"/>
          <w:rFonts w:cs="Arial"/>
        </w:rPr>
        <w:t xml:space="preserve"> Holistic Approach to Closure Part A: Deadline to Initiate Closure”</w:t>
      </w:r>
      <w:r w:rsidR="006A6052">
        <w:rPr>
          <w:rStyle w:val="normaltextrun1"/>
          <w:rFonts w:cs="Arial"/>
        </w:rPr>
        <w:t xml:space="preserve"> (“Part A</w:t>
      </w:r>
      <w:r w:rsidR="004D4F39">
        <w:rPr>
          <w:rStyle w:val="normaltextrun1"/>
          <w:rFonts w:cs="Arial"/>
        </w:rPr>
        <w:t xml:space="preserve"> Rule</w:t>
      </w:r>
      <w:r w:rsidR="006A6052">
        <w:rPr>
          <w:rStyle w:val="normaltextrun1"/>
          <w:rFonts w:cs="Arial"/>
        </w:rPr>
        <w:t>”)</w:t>
      </w:r>
      <w:r w:rsidR="004D4F39">
        <w:rPr>
          <w:rStyle w:val="normaltextrun1"/>
          <w:rFonts w:cs="Arial"/>
        </w:rPr>
        <w:t xml:space="preserve"> and the other titled </w:t>
      </w:r>
      <w:r w:rsidR="004D4F39" w:rsidRPr="0060527B">
        <w:t>“Holistic Approach to Closure Part B; Alternate Demonstration for Unlined Surface Impoundments; Implementation of Closure”</w:t>
      </w:r>
      <w:r w:rsidR="004D4F39">
        <w:t xml:space="preserve"> (“Part B Rule”)</w:t>
      </w:r>
      <w:r w:rsidR="00F26A77">
        <w:rPr>
          <w:rStyle w:val="normaltextrun1"/>
          <w:rFonts w:cs="Arial"/>
        </w:rPr>
        <w:t>.</w:t>
      </w:r>
      <w:r w:rsidR="007C14B7">
        <w:rPr>
          <w:rStyle w:val="normaltextrun1"/>
          <w:rFonts w:cs="Arial"/>
        </w:rPr>
        <w:t xml:space="preserve"> </w:t>
      </w:r>
      <w:r w:rsidR="00F26A77">
        <w:rPr>
          <w:rFonts w:eastAsia="Times New Roman"/>
        </w:rPr>
        <w:t>In</w:t>
      </w:r>
      <w:r w:rsidR="00F26A77">
        <w:rPr>
          <w:rStyle w:val="normaltextrun1"/>
          <w:rFonts w:cs="Arial"/>
        </w:rPr>
        <w:t xml:space="preserve"> August 2020</w:t>
      </w:r>
      <w:r w:rsidR="00F26A77" w:rsidRPr="0084296F">
        <w:rPr>
          <w:rStyle w:val="normaltextrun1"/>
          <w:rFonts w:cs="Arial"/>
        </w:rPr>
        <w:t xml:space="preserve">, </w:t>
      </w:r>
      <w:r w:rsidR="00F26A77" w:rsidRPr="0AF8DB6F">
        <w:rPr>
          <w:rFonts w:eastAsia="Times New Roman"/>
        </w:rPr>
        <w:t xml:space="preserve">EPA </w:t>
      </w:r>
      <w:r w:rsidR="00F26A77">
        <w:rPr>
          <w:rFonts w:eastAsia="Times New Roman"/>
        </w:rPr>
        <w:t>finalized</w:t>
      </w:r>
      <w:r w:rsidR="00F26A77" w:rsidRPr="004237A2">
        <w:rPr>
          <w:rFonts w:eastAsia="Times New Roman"/>
        </w:rPr>
        <w:t xml:space="preserve"> </w:t>
      </w:r>
      <w:r w:rsidR="004D4F39">
        <w:rPr>
          <w:rFonts w:eastAsia="Times New Roman"/>
        </w:rPr>
        <w:t>the Part A Rule</w:t>
      </w:r>
      <w:r w:rsidR="00C37F03">
        <w:rPr>
          <w:rStyle w:val="normaltextrun1"/>
          <w:rFonts w:cs="Arial"/>
        </w:rPr>
        <w:t xml:space="preserve">, which </w:t>
      </w:r>
      <w:r w:rsidR="00F26A77">
        <w:rPr>
          <w:rStyle w:val="normaltextrun1"/>
          <w:rFonts w:cs="Arial"/>
        </w:rPr>
        <w:t>incorporated</w:t>
      </w:r>
      <w:r w:rsidR="00C37F03">
        <w:rPr>
          <w:rStyle w:val="normaltextrun1"/>
          <w:rFonts w:cs="Arial"/>
        </w:rPr>
        <w:t xml:space="preserve"> a new </w:t>
      </w:r>
      <w:r w:rsidR="00F26A77" w:rsidRPr="00F26A77">
        <w:rPr>
          <w:rFonts w:eastAsia="Times New Roman" w:cstheme="minorHAnsi"/>
          <w:szCs w:val="20"/>
        </w:rPr>
        <w:t>deadline for unlined impoundments to cease receipt of waste and initiate closure no later than April 11, 2021;</w:t>
      </w:r>
      <w:r w:rsidR="00C37F03">
        <w:rPr>
          <w:rFonts w:eastAsia="Times New Roman" w:cstheme="minorHAnsi"/>
          <w:szCs w:val="20"/>
        </w:rPr>
        <w:t xml:space="preserve"> e</w:t>
      </w:r>
      <w:r w:rsidR="00F26A77" w:rsidRPr="00C37F03">
        <w:rPr>
          <w:rFonts w:eastAsia="Times New Roman" w:cstheme="minorHAnsi"/>
          <w:szCs w:val="20"/>
        </w:rPr>
        <w:t>xtend</w:t>
      </w:r>
      <w:r w:rsidR="00C37F03">
        <w:rPr>
          <w:rFonts w:eastAsia="Times New Roman" w:cstheme="minorHAnsi"/>
          <w:szCs w:val="20"/>
        </w:rPr>
        <w:t>ed</w:t>
      </w:r>
      <w:r w:rsidR="00F26A77" w:rsidRPr="00C37F03">
        <w:rPr>
          <w:rFonts w:eastAsia="Times New Roman" w:cstheme="minorHAnsi"/>
          <w:szCs w:val="20"/>
        </w:rPr>
        <w:t xml:space="preserve"> the existing alternative closure extensions to include CCR and non-CCR waste streams;</w:t>
      </w:r>
      <w:r w:rsidR="004C2052">
        <w:rPr>
          <w:rFonts w:eastAsia="Times New Roman" w:cstheme="minorHAnsi"/>
          <w:szCs w:val="20"/>
        </w:rPr>
        <w:t xml:space="preserve"> a</w:t>
      </w:r>
      <w:r w:rsidR="00F26A77" w:rsidRPr="00F26A77">
        <w:rPr>
          <w:rFonts w:eastAsia="Times New Roman" w:cstheme="minorHAnsi"/>
          <w:szCs w:val="20"/>
        </w:rPr>
        <w:t>dd</w:t>
      </w:r>
      <w:r w:rsidR="004C2052">
        <w:rPr>
          <w:rFonts w:eastAsia="Times New Roman" w:cstheme="minorHAnsi"/>
          <w:szCs w:val="20"/>
        </w:rPr>
        <w:t xml:space="preserve">ed requirements for the </w:t>
      </w:r>
      <w:r w:rsidR="00F26A77" w:rsidRPr="00F26A77">
        <w:rPr>
          <w:rFonts w:eastAsia="Times New Roman" w:cstheme="minorHAnsi"/>
          <w:szCs w:val="20"/>
        </w:rPr>
        <w:t xml:space="preserve">publicly accessible CCR website; </w:t>
      </w:r>
      <w:r w:rsidR="00B95B78">
        <w:rPr>
          <w:rFonts w:eastAsia="Times New Roman" w:cstheme="minorHAnsi"/>
          <w:szCs w:val="20"/>
        </w:rPr>
        <w:t>and changed the c</w:t>
      </w:r>
      <w:r w:rsidR="00F26A77" w:rsidRPr="00B95B78">
        <w:rPr>
          <w:rFonts w:eastAsia="Times New Roman" w:cstheme="minorHAnsi"/>
          <w:szCs w:val="20"/>
        </w:rPr>
        <w:t>lassification of compacted-soil lined, or “clay-lined</w:t>
      </w:r>
      <w:r w:rsidR="0002338D">
        <w:rPr>
          <w:rFonts w:eastAsia="Times New Roman" w:cstheme="minorHAnsi"/>
          <w:szCs w:val="20"/>
        </w:rPr>
        <w:t>,</w:t>
      </w:r>
      <w:r w:rsidR="00F26A77" w:rsidRPr="00B95B78">
        <w:rPr>
          <w:rFonts w:eastAsia="Times New Roman" w:cstheme="minorHAnsi"/>
          <w:szCs w:val="20"/>
        </w:rPr>
        <w:t>”</w:t>
      </w:r>
      <w:r w:rsidR="00CF0A96">
        <w:rPr>
          <w:rFonts w:eastAsia="Times New Roman" w:cstheme="minorHAnsi"/>
          <w:szCs w:val="20"/>
        </w:rPr>
        <w:t xml:space="preserve"> </w:t>
      </w:r>
      <w:r w:rsidR="00F26A77" w:rsidRPr="00B95B78">
        <w:rPr>
          <w:rFonts w:eastAsia="Times New Roman" w:cstheme="minorHAnsi"/>
          <w:szCs w:val="20"/>
        </w:rPr>
        <w:t>surface impoundments to “unlined.”</w:t>
      </w:r>
      <w:r w:rsidR="00066176">
        <w:rPr>
          <w:rFonts w:eastAsia="Times New Roman" w:cstheme="minorHAnsi"/>
          <w:szCs w:val="20"/>
        </w:rPr>
        <w:t xml:space="preserve"> </w:t>
      </w:r>
      <w:r w:rsidR="00C62FF5">
        <w:rPr>
          <w:rFonts w:eastAsia="Times New Roman" w:cstheme="minorHAnsi"/>
          <w:szCs w:val="20"/>
        </w:rPr>
        <w:t>I</w:t>
      </w:r>
      <w:r w:rsidR="00F26A77" w:rsidRPr="0060527B">
        <w:rPr>
          <w:rFonts w:eastAsia="Times New Roman"/>
        </w:rPr>
        <w:t xml:space="preserve">n November 2020, EPA finalized a portion of the proposed </w:t>
      </w:r>
      <w:r w:rsidR="00C62FF5">
        <w:rPr>
          <w:rFonts w:eastAsia="Times New Roman"/>
        </w:rPr>
        <w:t>Part B R</w:t>
      </w:r>
      <w:r w:rsidR="00F26A77" w:rsidRPr="0060527B">
        <w:rPr>
          <w:rFonts w:eastAsia="Times New Roman"/>
        </w:rPr>
        <w:t>ule</w:t>
      </w:r>
      <w:r w:rsidR="00A3537D">
        <w:rPr>
          <w:rFonts w:eastAsia="Times New Roman"/>
        </w:rPr>
        <w:t xml:space="preserve">, </w:t>
      </w:r>
      <w:r w:rsidR="00F26A77" w:rsidRPr="0060527B">
        <w:rPr>
          <w:rFonts w:eastAsia="Times New Roman"/>
        </w:rPr>
        <w:t>provid</w:t>
      </w:r>
      <w:r w:rsidR="00A3537D">
        <w:rPr>
          <w:rFonts w:eastAsia="Times New Roman"/>
        </w:rPr>
        <w:t>ing</w:t>
      </w:r>
      <w:r w:rsidR="00F26A77" w:rsidRPr="0060527B">
        <w:rPr>
          <w:rFonts w:eastAsia="Times New Roman"/>
        </w:rPr>
        <w:t xml:space="preserve"> </w:t>
      </w:r>
      <w:r w:rsidR="00585185">
        <w:rPr>
          <w:rFonts w:eastAsia="Times New Roman"/>
        </w:rPr>
        <w:t xml:space="preserve">a pathway for </w:t>
      </w:r>
      <w:r w:rsidR="00F26A77" w:rsidRPr="0060527B">
        <w:rPr>
          <w:rFonts w:eastAsia="Times New Roman"/>
        </w:rPr>
        <w:t>owner</w:t>
      </w:r>
      <w:r w:rsidR="00A3537D">
        <w:rPr>
          <w:rFonts w:eastAsia="Times New Roman"/>
        </w:rPr>
        <w:t>s</w:t>
      </w:r>
      <w:r w:rsidR="00F26A77" w:rsidRPr="0060527B">
        <w:rPr>
          <w:rFonts w:eastAsia="Times New Roman"/>
        </w:rPr>
        <w:t>/operator</w:t>
      </w:r>
      <w:r w:rsidR="00A3537D">
        <w:rPr>
          <w:rFonts w:eastAsia="Times New Roman"/>
        </w:rPr>
        <w:t>s</w:t>
      </w:r>
      <w:r w:rsidR="00F26A77" w:rsidRPr="0060527B">
        <w:rPr>
          <w:rFonts w:eastAsia="Times New Roman"/>
        </w:rPr>
        <w:t xml:space="preserve"> to demonstrate that alternative liner systems</w:t>
      </w:r>
      <w:r w:rsidR="002B7111">
        <w:rPr>
          <w:rFonts w:eastAsia="Times New Roman"/>
        </w:rPr>
        <w:t>,</w:t>
      </w:r>
      <w:r w:rsidR="00F26A77" w:rsidRPr="0060527B">
        <w:rPr>
          <w:rFonts w:eastAsia="Times New Roman"/>
        </w:rPr>
        <w:t xml:space="preserve"> such as natural clay</w:t>
      </w:r>
      <w:r w:rsidR="002B7111">
        <w:rPr>
          <w:rFonts w:eastAsia="Times New Roman"/>
        </w:rPr>
        <w:t>,</w:t>
      </w:r>
      <w:r w:rsidR="00F26A77" w:rsidRPr="0060527B">
        <w:rPr>
          <w:rFonts w:eastAsia="Times New Roman"/>
        </w:rPr>
        <w:t xml:space="preserve"> perform as well as or better than </w:t>
      </w:r>
      <w:r w:rsidR="00C62FF5">
        <w:rPr>
          <w:rFonts w:eastAsia="Times New Roman"/>
        </w:rPr>
        <w:t xml:space="preserve">the </w:t>
      </w:r>
      <w:r w:rsidR="00F26A77" w:rsidRPr="0060527B">
        <w:rPr>
          <w:rFonts w:eastAsia="Times New Roman"/>
        </w:rPr>
        <w:t xml:space="preserve">composite liner systems required by the CCR rule. </w:t>
      </w:r>
    </w:p>
    <w:p w14:paraId="228A4E7D" w14:textId="2CD7C419" w:rsidR="00516782" w:rsidRPr="004E32D7" w:rsidRDefault="00780CD5" w:rsidP="0020563C">
      <w:pPr>
        <w:pStyle w:val="Smallheading3notoc"/>
      </w:pPr>
      <w:r w:rsidRPr="004E32D7">
        <w:t xml:space="preserve">Federal </w:t>
      </w:r>
      <w:r w:rsidR="004B4DBA" w:rsidRPr="004E32D7">
        <w:t xml:space="preserve">Part A </w:t>
      </w:r>
      <w:r w:rsidR="00F26FE4" w:rsidRPr="004E32D7">
        <w:t xml:space="preserve">Rule and Part B Rule </w:t>
      </w:r>
      <w:r w:rsidR="00516782" w:rsidRPr="004E32D7">
        <w:t>Determinations</w:t>
      </w:r>
    </w:p>
    <w:p w14:paraId="36B7E8C8" w14:textId="304E8BEB" w:rsidR="003713E9" w:rsidRDefault="005B26A9" w:rsidP="009A4A30">
      <w:r>
        <w:t xml:space="preserve">In </w:t>
      </w:r>
      <w:r w:rsidR="00261A40">
        <w:t>January 2022, EPA issued</w:t>
      </w:r>
      <w:r>
        <w:t xml:space="preserve"> </w:t>
      </w:r>
      <w:r w:rsidR="00045100">
        <w:t>proposed determination</w:t>
      </w:r>
      <w:r w:rsidR="002456B8">
        <w:t>s</w:t>
      </w:r>
      <w:r w:rsidR="006E4221">
        <w:t xml:space="preserve"> </w:t>
      </w:r>
      <w:r w:rsidR="0039066F">
        <w:t xml:space="preserve">for </w:t>
      </w:r>
      <w:r w:rsidR="00764436">
        <w:t xml:space="preserve">multiple </w:t>
      </w:r>
      <w:r w:rsidR="002456B8">
        <w:t xml:space="preserve">facilities across the </w:t>
      </w:r>
      <w:r w:rsidR="004E0A84">
        <w:t>industry</w:t>
      </w:r>
      <w:r w:rsidR="002456B8">
        <w:t xml:space="preserve"> </w:t>
      </w:r>
      <w:r w:rsidR="004B759F">
        <w:t>in response to</w:t>
      </w:r>
      <w:r w:rsidR="00AA240F">
        <w:t xml:space="preserve"> </w:t>
      </w:r>
      <w:r w:rsidR="002456B8">
        <w:t>compliance extension</w:t>
      </w:r>
      <w:r w:rsidR="002119AB">
        <w:t xml:space="preserve"> request</w:t>
      </w:r>
      <w:r w:rsidR="00C06233">
        <w:t>s</w:t>
      </w:r>
      <w:r w:rsidR="008E7960">
        <w:t xml:space="preserve"> to</w:t>
      </w:r>
      <w:r w:rsidR="002C1FE2">
        <w:t xml:space="preserve"> allow continued use of </w:t>
      </w:r>
      <w:r w:rsidR="00B24F9B">
        <w:t>facility specific ash ponds</w:t>
      </w:r>
      <w:r w:rsidR="002456B8">
        <w:t xml:space="preserve"> under the Part A Rule</w:t>
      </w:r>
      <w:r w:rsidR="00C14FE8">
        <w:t>.</w:t>
      </w:r>
      <w:r w:rsidR="00045100">
        <w:t xml:space="preserve"> </w:t>
      </w:r>
      <w:r w:rsidR="00AE3BA8" w:rsidRPr="000F5BAF">
        <w:t xml:space="preserve">In EPA’s review of </w:t>
      </w:r>
      <w:proofErr w:type="gramStart"/>
      <w:r w:rsidR="00AE3BA8" w:rsidRPr="000F5BAF">
        <w:t>Part</w:t>
      </w:r>
      <w:proofErr w:type="gramEnd"/>
      <w:r w:rsidR="00AE3BA8" w:rsidRPr="000F5BAF">
        <w:t xml:space="preserve"> A applications, </w:t>
      </w:r>
      <w:r w:rsidR="003D2960" w:rsidRPr="000F5BAF">
        <w:t>EPA expressed new positions on various aspects of the Federal CCR Rule compliance requirements</w:t>
      </w:r>
      <w:r w:rsidR="007406B6" w:rsidRPr="000F5BAF">
        <w:t>.</w:t>
      </w:r>
      <w:r w:rsidR="003D2960" w:rsidRPr="000F5BAF">
        <w:t xml:space="preserve"> </w:t>
      </w:r>
      <w:r w:rsidR="003E2CE5" w:rsidRPr="000F5BAF">
        <w:t>These positions include:</w:t>
      </w:r>
    </w:p>
    <w:p w14:paraId="42FA5CF7" w14:textId="7EEEF3F6" w:rsidR="003713E9" w:rsidRDefault="00B22173" w:rsidP="009A4A30">
      <w:pPr>
        <w:pStyle w:val="ListParagraph"/>
        <w:numPr>
          <w:ilvl w:val="0"/>
          <w:numId w:val="31"/>
        </w:numPr>
        <w:spacing w:after="0" w:line="259" w:lineRule="auto"/>
        <w:ind w:left="763"/>
        <w:rPr>
          <w:rFonts w:asciiTheme="minorHAnsi" w:hAnsiTheme="minorHAnsi" w:cstheme="minorHAnsi"/>
          <w:sz w:val="22"/>
        </w:rPr>
      </w:pPr>
      <w:r>
        <w:rPr>
          <w:rFonts w:asciiTheme="minorHAnsi" w:hAnsiTheme="minorHAnsi" w:cstheme="minorHAnsi"/>
          <w:sz w:val="22"/>
        </w:rPr>
        <w:t>C</w:t>
      </w:r>
      <w:r w:rsidR="00051364">
        <w:rPr>
          <w:rFonts w:asciiTheme="minorHAnsi" w:hAnsiTheme="minorHAnsi" w:cstheme="minorHAnsi"/>
          <w:sz w:val="22"/>
        </w:rPr>
        <w:t>losure</w:t>
      </w:r>
      <w:r w:rsidR="00B529CD">
        <w:rPr>
          <w:rFonts w:asciiTheme="minorHAnsi" w:hAnsiTheme="minorHAnsi" w:cstheme="minorHAnsi"/>
          <w:sz w:val="22"/>
        </w:rPr>
        <w:t xml:space="preserve"> plans </w:t>
      </w:r>
      <w:r w:rsidR="008E7937">
        <w:rPr>
          <w:rFonts w:asciiTheme="minorHAnsi" w:hAnsiTheme="minorHAnsi" w:cstheme="minorHAnsi"/>
          <w:sz w:val="22"/>
        </w:rPr>
        <w:t>did not adequately demonstrate how CCR units would meet closure performance standards</w:t>
      </w:r>
      <w:r w:rsidR="008155A6">
        <w:rPr>
          <w:rFonts w:asciiTheme="minorHAnsi" w:hAnsiTheme="minorHAnsi" w:cstheme="minorHAnsi"/>
          <w:sz w:val="22"/>
        </w:rPr>
        <w:t xml:space="preserve"> when the unit is </w:t>
      </w:r>
      <w:r w:rsidR="00162F44">
        <w:rPr>
          <w:rFonts w:asciiTheme="minorHAnsi" w:hAnsiTheme="minorHAnsi" w:cstheme="minorHAnsi"/>
          <w:sz w:val="22"/>
        </w:rPr>
        <w:t xml:space="preserve">to be closed </w:t>
      </w:r>
      <w:r w:rsidR="008155A6">
        <w:rPr>
          <w:rFonts w:asciiTheme="minorHAnsi" w:hAnsiTheme="minorHAnsi" w:cstheme="minorHAnsi"/>
          <w:sz w:val="22"/>
        </w:rPr>
        <w:t>in contact with groundwater</w:t>
      </w:r>
      <w:r w:rsidR="00CF45C6">
        <w:rPr>
          <w:rFonts w:asciiTheme="minorHAnsi" w:hAnsiTheme="minorHAnsi" w:cstheme="minorHAnsi"/>
          <w:sz w:val="22"/>
        </w:rPr>
        <w:t xml:space="preserve"> or </w:t>
      </w:r>
      <w:r w:rsidR="00697550">
        <w:rPr>
          <w:rFonts w:asciiTheme="minorHAnsi" w:hAnsiTheme="minorHAnsi" w:cstheme="minorHAnsi"/>
          <w:sz w:val="22"/>
        </w:rPr>
        <w:t xml:space="preserve">to be closed without </w:t>
      </w:r>
      <w:r w:rsidR="00CF45C6">
        <w:rPr>
          <w:rFonts w:asciiTheme="minorHAnsi" w:hAnsiTheme="minorHAnsi" w:cstheme="minorHAnsi"/>
          <w:sz w:val="22"/>
        </w:rPr>
        <w:t xml:space="preserve">preventing the horizontal infiltration of </w:t>
      </w:r>
      <w:proofErr w:type="gramStart"/>
      <w:r w:rsidR="00CF45C6">
        <w:rPr>
          <w:rFonts w:asciiTheme="minorHAnsi" w:hAnsiTheme="minorHAnsi" w:cstheme="minorHAnsi"/>
          <w:sz w:val="22"/>
        </w:rPr>
        <w:t>liquids</w:t>
      </w:r>
      <w:r w:rsidR="003713E9">
        <w:rPr>
          <w:rFonts w:asciiTheme="minorHAnsi" w:hAnsiTheme="minorHAnsi" w:cstheme="minorHAnsi"/>
          <w:sz w:val="22"/>
        </w:rPr>
        <w:t>;</w:t>
      </w:r>
      <w:proofErr w:type="gramEnd"/>
    </w:p>
    <w:p w14:paraId="1D57601D" w14:textId="27B7F47B" w:rsidR="003713E9" w:rsidRDefault="00BD2ED1" w:rsidP="009A4A30">
      <w:pPr>
        <w:pStyle w:val="ListParagraph"/>
        <w:numPr>
          <w:ilvl w:val="0"/>
          <w:numId w:val="31"/>
        </w:numPr>
        <w:spacing w:after="0" w:line="259" w:lineRule="auto"/>
        <w:ind w:left="763"/>
        <w:rPr>
          <w:rFonts w:asciiTheme="minorHAnsi" w:hAnsiTheme="minorHAnsi" w:cstheme="minorHAnsi"/>
          <w:sz w:val="22"/>
        </w:rPr>
      </w:pPr>
      <w:r>
        <w:rPr>
          <w:rFonts w:asciiTheme="minorHAnsi" w:hAnsiTheme="minorHAnsi" w:cstheme="minorHAnsi"/>
          <w:sz w:val="22"/>
        </w:rPr>
        <w:t>Flaws in groundwater monitoring systems in</w:t>
      </w:r>
      <w:r w:rsidR="000F3270">
        <w:rPr>
          <w:rFonts w:asciiTheme="minorHAnsi" w:hAnsiTheme="minorHAnsi" w:cstheme="minorHAnsi"/>
          <w:sz w:val="22"/>
        </w:rPr>
        <w:t xml:space="preserve">cluding well placement, number of wells, improper characterization of background, </w:t>
      </w:r>
      <w:r w:rsidR="00EA1E84">
        <w:rPr>
          <w:rFonts w:asciiTheme="minorHAnsi" w:hAnsiTheme="minorHAnsi" w:cstheme="minorHAnsi"/>
          <w:sz w:val="22"/>
        </w:rPr>
        <w:t>and monitoring multi-</w:t>
      </w:r>
      <w:proofErr w:type="gramStart"/>
      <w:r w:rsidR="00EA1E84">
        <w:rPr>
          <w:rFonts w:asciiTheme="minorHAnsi" w:hAnsiTheme="minorHAnsi" w:cstheme="minorHAnsi"/>
          <w:sz w:val="22"/>
        </w:rPr>
        <w:t>units</w:t>
      </w:r>
      <w:r w:rsidR="00F11C83">
        <w:rPr>
          <w:rFonts w:asciiTheme="minorHAnsi" w:hAnsiTheme="minorHAnsi" w:cstheme="minorHAnsi"/>
          <w:sz w:val="22"/>
        </w:rPr>
        <w:t>;</w:t>
      </w:r>
      <w:proofErr w:type="gramEnd"/>
    </w:p>
    <w:p w14:paraId="136EC6B4" w14:textId="543BD9FD" w:rsidR="00F11C83" w:rsidRDefault="003A28CB" w:rsidP="009A4A30">
      <w:pPr>
        <w:pStyle w:val="ListParagraph"/>
        <w:numPr>
          <w:ilvl w:val="0"/>
          <w:numId w:val="31"/>
        </w:numPr>
        <w:spacing w:after="0" w:line="259" w:lineRule="auto"/>
        <w:ind w:left="763"/>
        <w:rPr>
          <w:rFonts w:asciiTheme="minorHAnsi" w:hAnsiTheme="minorHAnsi" w:cstheme="minorHAnsi"/>
          <w:sz w:val="22"/>
        </w:rPr>
      </w:pPr>
      <w:r>
        <w:rPr>
          <w:rFonts w:asciiTheme="minorHAnsi" w:hAnsiTheme="minorHAnsi" w:cstheme="minorHAnsi"/>
          <w:sz w:val="22"/>
        </w:rPr>
        <w:t xml:space="preserve">Inadequate alternate source </w:t>
      </w:r>
      <w:proofErr w:type="gramStart"/>
      <w:r>
        <w:rPr>
          <w:rFonts w:asciiTheme="minorHAnsi" w:hAnsiTheme="minorHAnsi" w:cstheme="minorHAnsi"/>
          <w:sz w:val="22"/>
        </w:rPr>
        <w:t>demonstrations</w:t>
      </w:r>
      <w:r w:rsidR="0057258B">
        <w:rPr>
          <w:rFonts w:asciiTheme="minorHAnsi" w:hAnsiTheme="minorHAnsi" w:cstheme="minorHAnsi"/>
          <w:sz w:val="22"/>
        </w:rPr>
        <w:t>;</w:t>
      </w:r>
      <w:proofErr w:type="gramEnd"/>
    </w:p>
    <w:p w14:paraId="57FE0F1B" w14:textId="343FDBF1" w:rsidR="002B38C5" w:rsidRDefault="00EB435E" w:rsidP="009A4A30">
      <w:pPr>
        <w:pStyle w:val="ListParagraph"/>
        <w:numPr>
          <w:ilvl w:val="0"/>
          <w:numId w:val="31"/>
        </w:numPr>
        <w:spacing w:after="0" w:line="259" w:lineRule="auto"/>
        <w:ind w:left="763"/>
        <w:rPr>
          <w:rFonts w:asciiTheme="minorHAnsi" w:hAnsiTheme="minorHAnsi" w:cstheme="minorHAnsi"/>
          <w:sz w:val="22"/>
        </w:rPr>
      </w:pPr>
      <w:r>
        <w:rPr>
          <w:rFonts w:asciiTheme="minorHAnsi" w:hAnsiTheme="minorHAnsi" w:cstheme="minorHAnsi"/>
          <w:sz w:val="22"/>
        </w:rPr>
        <w:t>Timing of remedy selection for CCR units that are in corrective action</w:t>
      </w:r>
      <w:r w:rsidR="00951716">
        <w:rPr>
          <w:rFonts w:asciiTheme="minorHAnsi" w:hAnsiTheme="minorHAnsi" w:cstheme="minorHAnsi"/>
          <w:sz w:val="22"/>
        </w:rPr>
        <w:t xml:space="preserve"> is </w:t>
      </w:r>
      <w:proofErr w:type="gramStart"/>
      <w:r w:rsidR="00951716">
        <w:rPr>
          <w:rFonts w:asciiTheme="minorHAnsi" w:hAnsiTheme="minorHAnsi" w:cstheme="minorHAnsi"/>
          <w:sz w:val="22"/>
        </w:rPr>
        <w:t>inadequate;</w:t>
      </w:r>
      <w:proofErr w:type="gramEnd"/>
    </w:p>
    <w:p w14:paraId="16BC819F" w14:textId="091F5285" w:rsidR="00951716" w:rsidRDefault="00085642" w:rsidP="009A4A30">
      <w:pPr>
        <w:pStyle w:val="ListParagraph"/>
        <w:numPr>
          <w:ilvl w:val="0"/>
          <w:numId w:val="31"/>
        </w:numPr>
        <w:spacing w:after="0" w:line="259" w:lineRule="auto"/>
        <w:ind w:left="763"/>
        <w:rPr>
          <w:rFonts w:asciiTheme="minorHAnsi" w:hAnsiTheme="minorHAnsi" w:cstheme="minorHAnsi"/>
          <w:sz w:val="22"/>
        </w:rPr>
      </w:pPr>
      <w:r>
        <w:rPr>
          <w:rFonts w:asciiTheme="minorHAnsi" w:hAnsiTheme="minorHAnsi" w:cstheme="minorHAnsi"/>
          <w:sz w:val="22"/>
        </w:rPr>
        <w:t>Qualified Professional Engineer certifications;</w:t>
      </w:r>
      <w:r w:rsidR="000A3317">
        <w:rPr>
          <w:rFonts w:asciiTheme="minorHAnsi" w:hAnsiTheme="minorHAnsi" w:cstheme="minorHAnsi"/>
          <w:sz w:val="22"/>
        </w:rPr>
        <w:t xml:space="preserve"> and</w:t>
      </w:r>
    </w:p>
    <w:p w14:paraId="052FC344" w14:textId="2F006D34" w:rsidR="007C3D77" w:rsidRPr="008B311C" w:rsidRDefault="000A3317" w:rsidP="009A4A30">
      <w:pPr>
        <w:pStyle w:val="ListParagraph"/>
        <w:numPr>
          <w:ilvl w:val="0"/>
          <w:numId w:val="31"/>
        </w:numPr>
        <w:spacing w:after="0" w:line="259" w:lineRule="auto"/>
        <w:ind w:left="763"/>
        <w:rPr>
          <w:rFonts w:cstheme="minorHAnsi"/>
        </w:rPr>
      </w:pPr>
      <w:r>
        <w:rPr>
          <w:rFonts w:asciiTheme="minorHAnsi" w:hAnsiTheme="minorHAnsi" w:cstheme="minorHAnsi"/>
          <w:sz w:val="22"/>
        </w:rPr>
        <w:t>Beneficial use of CCR to close units.</w:t>
      </w:r>
    </w:p>
    <w:p w14:paraId="404D7A02" w14:textId="3ACC45EF" w:rsidR="00FB2981" w:rsidRDefault="00FE23AF" w:rsidP="009A4A30">
      <w:r w:rsidRPr="00FE23AF">
        <w:t xml:space="preserve">Georgia Power did not apply for a Part A extension as the </w:t>
      </w:r>
      <w:r w:rsidR="00A32EDA">
        <w:t>C</w:t>
      </w:r>
      <w:r w:rsidR="00A32EDA" w:rsidRPr="00FE23AF">
        <w:t xml:space="preserve">ompany </w:t>
      </w:r>
      <w:r w:rsidRPr="00FE23AF">
        <w:t>had initiated closure by 2019.</w:t>
      </w:r>
      <w:r>
        <w:t xml:space="preserve"> </w:t>
      </w:r>
      <w:r w:rsidR="00E216CC">
        <w:t>I</w:t>
      </w:r>
      <w:r w:rsidR="00E216CC" w:rsidRPr="006A18C5">
        <w:t xml:space="preserve">n April 2022, USWAG and a group of </w:t>
      </w:r>
      <w:r w:rsidR="00E216CC">
        <w:t>utilities</w:t>
      </w:r>
      <w:r w:rsidR="00E216CC" w:rsidRPr="006A18C5">
        <w:t xml:space="preserve"> filed petitions for review in the D.C. Circuit Court of Appeals, challenging EPA’s January </w:t>
      </w:r>
      <w:r w:rsidR="00E216CC">
        <w:t>2022</w:t>
      </w:r>
      <w:r w:rsidR="00E216CC" w:rsidRPr="006A18C5">
        <w:t xml:space="preserve"> actions. The primary basis of the challenge </w:t>
      </w:r>
      <w:r w:rsidR="00A32EDA">
        <w:t>wa</w:t>
      </w:r>
      <w:r w:rsidR="00A32EDA" w:rsidRPr="006A18C5">
        <w:t xml:space="preserve">s </w:t>
      </w:r>
      <w:r w:rsidR="00E216CC" w:rsidRPr="006A18C5">
        <w:t xml:space="preserve">whether EPA’s actions are new “legislative” rules that should have </w:t>
      </w:r>
      <w:r w:rsidR="000568B2">
        <w:t>been subject to</w:t>
      </w:r>
      <w:r w:rsidR="00E216CC" w:rsidRPr="006A18C5">
        <w:t xml:space="preserve"> notice-and-comment rulemaking.</w:t>
      </w:r>
      <w:r w:rsidR="00E216CC">
        <w:t xml:space="preserve"> </w:t>
      </w:r>
      <w:r w:rsidR="00FB2981">
        <w:t xml:space="preserve">Throughout </w:t>
      </w:r>
      <w:r w:rsidR="00655697">
        <w:t>2022 and</w:t>
      </w:r>
      <w:r w:rsidR="00FB2981">
        <w:t xml:space="preserve"> </w:t>
      </w:r>
      <w:r w:rsidR="00C44D3C" w:rsidRPr="322C2331">
        <w:t xml:space="preserve">2023, </w:t>
      </w:r>
      <w:r w:rsidR="00235AF5" w:rsidRPr="322C2331">
        <w:t>EPA</w:t>
      </w:r>
      <w:r w:rsidR="009A6884" w:rsidRPr="322C2331">
        <w:t xml:space="preserve"> continued to issue </w:t>
      </w:r>
      <w:r w:rsidR="002970F1">
        <w:t>Part A</w:t>
      </w:r>
      <w:r w:rsidR="00C44D3C" w:rsidRPr="322C2331">
        <w:t xml:space="preserve"> determinations related to facilities outside of Georgia</w:t>
      </w:r>
      <w:r w:rsidR="008A3FBA">
        <w:t xml:space="preserve">. </w:t>
      </w:r>
    </w:p>
    <w:p w14:paraId="5F9F6070" w14:textId="0466EE54" w:rsidR="005A2C5C" w:rsidRDefault="00E11DE0" w:rsidP="009A4A30">
      <w:r>
        <w:lastRenderedPageBreak/>
        <w:t xml:space="preserve">In February 2023, </w:t>
      </w:r>
      <w:r w:rsidRPr="00E11DE0">
        <w:t xml:space="preserve">EPA issued proposed denials for </w:t>
      </w:r>
      <w:proofErr w:type="gramStart"/>
      <w:r w:rsidRPr="00E11DE0">
        <w:t>all of</w:t>
      </w:r>
      <w:proofErr w:type="gramEnd"/>
      <w:r w:rsidRPr="00E11DE0">
        <w:t xml:space="preserve"> the Part B Rule applica</w:t>
      </w:r>
      <w:r w:rsidR="00E63ECB">
        <w:t>n</w:t>
      </w:r>
      <w:r w:rsidRPr="00E11DE0">
        <w:t>t</w:t>
      </w:r>
      <w:r w:rsidR="00E63ECB">
        <w:t>s</w:t>
      </w:r>
      <w:r w:rsidR="00BE2A7C">
        <w:t xml:space="preserve"> (Georgia did not </w:t>
      </w:r>
      <w:r w:rsidR="0015534A">
        <w:t>apply for Part B extension)</w:t>
      </w:r>
      <w:r w:rsidR="00E63ECB">
        <w:t xml:space="preserve"> </w:t>
      </w:r>
      <w:r w:rsidR="02EC1C38">
        <w:t>that</w:t>
      </w:r>
      <w:r w:rsidR="00937F55">
        <w:t xml:space="preserve"> </w:t>
      </w:r>
      <w:r w:rsidR="00A5320B">
        <w:t>were demonstrating</w:t>
      </w:r>
      <w:r w:rsidRPr="00E11DE0">
        <w:t xml:space="preserve"> their </w:t>
      </w:r>
      <w:r w:rsidR="00781183">
        <w:t xml:space="preserve">alternative liners </w:t>
      </w:r>
      <w:r w:rsidR="00082020">
        <w:t>would ensure the protection</w:t>
      </w:r>
      <w:r w:rsidR="006424EE">
        <w:t xml:space="preserve"> of human health and the environment </w:t>
      </w:r>
      <w:r w:rsidR="00D900B1">
        <w:t xml:space="preserve">to be </w:t>
      </w:r>
      <w:r w:rsidR="002E316F">
        <w:t xml:space="preserve">able to continue to use the CCR unit, </w:t>
      </w:r>
      <w:r w:rsidRPr="00E11DE0">
        <w:t xml:space="preserve">along with a press release announcing their decisions. EPA proposed to deny six of the demonstrations and </w:t>
      </w:r>
      <w:r w:rsidR="005F4CE6" w:rsidRPr="00E11DE0">
        <w:t>issu</w:t>
      </w:r>
      <w:r w:rsidR="005F4CE6">
        <w:t>e</w:t>
      </w:r>
      <w:r w:rsidRPr="00E11DE0">
        <w:t xml:space="preserve"> one letter finding that a facility’s demonstration was insufficient to show that its liners meet the criteria for an alternative composite liner.</w:t>
      </w:r>
      <w:r w:rsidR="00A73409">
        <w:t xml:space="preserve"> </w:t>
      </w:r>
      <w:r w:rsidRPr="00E11DE0">
        <w:t xml:space="preserve">EPA’s letter describes alleged compliance issues and notes that the facility is no longer eligible for </w:t>
      </w:r>
      <w:r w:rsidR="00A73409">
        <w:t>utilizing the schedule under the Part B rule for continued usage of the pond</w:t>
      </w:r>
      <w:r w:rsidR="003E0B3A">
        <w:t>.</w:t>
      </w:r>
      <w:r w:rsidR="000C46A6">
        <w:t xml:space="preserve"> EPA’s reasoning for denying all Part B applications</w:t>
      </w:r>
      <w:r w:rsidR="00755638">
        <w:t xml:space="preserve"> </w:t>
      </w:r>
      <w:r w:rsidR="005A2C5C">
        <w:t>include</w:t>
      </w:r>
      <w:r w:rsidR="00755638">
        <w:t xml:space="preserve"> i</w:t>
      </w:r>
      <w:r w:rsidR="005A2C5C" w:rsidRPr="00796AD6">
        <w:t>nadequate groundwater monitoring networks</w:t>
      </w:r>
      <w:r w:rsidR="0033192B" w:rsidRPr="00796AD6">
        <w:t xml:space="preserve">, </w:t>
      </w:r>
      <w:r w:rsidR="00E7306C" w:rsidRPr="00796AD6">
        <w:t>insu</w:t>
      </w:r>
      <w:r w:rsidR="00E76716" w:rsidRPr="00796AD6">
        <w:t xml:space="preserve">fficient alternate source </w:t>
      </w:r>
      <w:r w:rsidR="00DB3C30" w:rsidRPr="00796AD6">
        <w:t>demonstrations</w:t>
      </w:r>
      <w:r w:rsidR="00E76716" w:rsidRPr="00796AD6">
        <w:t xml:space="preserve">, </w:t>
      </w:r>
      <w:r w:rsidR="006D499C" w:rsidRPr="00796AD6">
        <w:t>inadequate documentation for the design and performance of the impoundment liners, and failure to meet all location restrictions.</w:t>
      </w:r>
    </w:p>
    <w:p w14:paraId="2EC8D0AE" w14:textId="77777777" w:rsidR="00476E1A" w:rsidRPr="00AD44C0" w:rsidRDefault="00476E1A" w:rsidP="00E41924">
      <w:pPr>
        <w:pStyle w:val="Smallheading3notoc"/>
      </w:pPr>
      <w:r w:rsidRPr="00E41924">
        <w:t>National Enforcement and Compliance Initiatives</w:t>
      </w:r>
    </w:p>
    <w:p w14:paraId="68FA6D17" w14:textId="6123C0ED" w:rsidR="00476E1A" w:rsidRDefault="00476E1A" w:rsidP="009A4A30">
      <w:r w:rsidRPr="00AD44C0">
        <w:t>In August 2023, EPA added CCR enforcement to its National Enforcement and Compliance Initiatives (NECI) for the next four fiscal years (October 2023 to September 2027). EPA indicated it will focus on “conducting investigations, particularly at coal ash facilities impacting vulnerable or overburdened communities; taking enforcement action at coal ash facilities that are violating the law; and protecting and cleaning up contaminated groundwater, surface water, and drinking water resources.”</w:t>
      </w:r>
      <w:r w:rsidR="00BB2D47">
        <w:rPr>
          <w:rStyle w:val="FootnoteReference"/>
        </w:rPr>
        <w:footnoteReference w:id="6"/>
      </w:r>
      <w:r w:rsidRPr="00AD44C0">
        <w:t xml:space="preserve"> In 2023, EPA began developing a number of enforcement cases across EPA regions, seven of which have been resolved through settlement, including one in Region 4. To date, no facilities in Georgia have been the subject of EPA enforcement.</w:t>
      </w:r>
      <w:r w:rsidR="007C14B7" w:rsidRPr="00AD44C0">
        <w:t xml:space="preserve"> </w:t>
      </w:r>
    </w:p>
    <w:p w14:paraId="75EC3AA9" w14:textId="680EDAFB" w:rsidR="00476E1A" w:rsidRPr="004E32D7" w:rsidRDefault="00476E1A" w:rsidP="0020563C">
      <w:pPr>
        <w:pStyle w:val="Smallheading3notoc"/>
      </w:pPr>
      <w:r w:rsidRPr="004E32D7">
        <w:t>Federal CCR Rule Revisions: Legacy Surface Impoundments</w:t>
      </w:r>
    </w:p>
    <w:p w14:paraId="5A054BF3" w14:textId="77777777" w:rsidR="00476E1A" w:rsidRPr="00CC49A3" w:rsidRDefault="00476E1A" w:rsidP="009A4A30">
      <w:r>
        <w:t xml:space="preserve">In October 2020, EPA published an advanced notice of proposed rulemaking on legacy surface impoundments, or inactive surface impoundments at retired electricity generation facilities. This notice solicited data and information on the status and number of legacy impoundments. EPA stated that a future proposed rule may include a new definition for legacy surface impoundments and may propose requiring such impoundments to follow existing regulatory requirements for fugitive dust, groundwater monitoring, closure, and other technical requirements. </w:t>
      </w:r>
    </w:p>
    <w:p w14:paraId="4CF96F2E" w14:textId="3851304C" w:rsidR="003A4300" w:rsidRPr="00E125C0" w:rsidRDefault="25DD2F20" w:rsidP="00E125C0">
      <w:pPr>
        <w:pStyle w:val="Heading3noTOC"/>
        <w:rPr>
          <w:sz w:val="24"/>
          <w:szCs w:val="24"/>
        </w:rPr>
      </w:pPr>
      <w:r w:rsidRPr="00E125C0">
        <w:rPr>
          <w:sz w:val="24"/>
          <w:szCs w:val="24"/>
        </w:rPr>
        <w:t>New</w:t>
      </w:r>
      <w:r w:rsidR="6151C7EB" w:rsidRPr="00E125C0">
        <w:rPr>
          <w:sz w:val="24"/>
          <w:szCs w:val="24"/>
        </w:rPr>
        <w:t xml:space="preserve"> Regulatory Updates</w:t>
      </w:r>
    </w:p>
    <w:p w14:paraId="3C3D2094" w14:textId="01C2E9AF" w:rsidR="003751B2" w:rsidRDefault="349A84F4" w:rsidP="009A4A30">
      <w:pPr>
        <w:pStyle w:val="ListParagraph"/>
        <w:numPr>
          <w:ilvl w:val="0"/>
          <w:numId w:val="3"/>
        </w:numPr>
        <w:spacing w:after="0" w:line="259" w:lineRule="auto"/>
        <w:rPr>
          <w:rFonts w:asciiTheme="minorHAnsi" w:eastAsiaTheme="minorEastAsia" w:hAnsiTheme="minorHAnsi"/>
          <w:sz w:val="22"/>
        </w:rPr>
      </w:pPr>
      <w:r w:rsidRPr="322C2331">
        <w:rPr>
          <w:rFonts w:asciiTheme="minorHAnsi" w:eastAsiaTheme="minorEastAsia" w:hAnsiTheme="minorHAnsi"/>
          <w:sz w:val="22"/>
        </w:rPr>
        <w:t xml:space="preserve">On May 8, 2024, EPA published the final </w:t>
      </w:r>
      <w:r w:rsidR="00D1041E">
        <w:rPr>
          <w:rFonts w:asciiTheme="minorHAnsi" w:eastAsiaTheme="minorEastAsia" w:hAnsiTheme="minorHAnsi"/>
          <w:sz w:val="22"/>
        </w:rPr>
        <w:t>CCR Legacy Rule</w:t>
      </w:r>
      <w:r w:rsidRPr="322C2331">
        <w:rPr>
          <w:rFonts w:asciiTheme="minorHAnsi" w:eastAsiaTheme="minorEastAsia" w:hAnsiTheme="minorHAnsi"/>
          <w:sz w:val="22"/>
        </w:rPr>
        <w:t>, with an effective date of November 8, 2024</w:t>
      </w:r>
      <w:r w:rsidR="00EE47DD">
        <w:rPr>
          <w:rFonts w:asciiTheme="minorHAnsi" w:eastAsiaTheme="minorEastAsia" w:hAnsiTheme="minorHAnsi"/>
          <w:sz w:val="22"/>
        </w:rPr>
        <w:t>,</w:t>
      </w:r>
      <w:r w:rsidR="000C75D8">
        <w:rPr>
          <w:rFonts w:asciiTheme="minorHAnsi" w:eastAsiaTheme="minorEastAsia" w:hAnsiTheme="minorHAnsi"/>
          <w:sz w:val="22"/>
        </w:rPr>
        <w:t xml:space="preserve"> </w:t>
      </w:r>
      <w:r w:rsidR="000C75D8" w:rsidRPr="000C75D8">
        <w:rPr>
          <w:rFonts w:asciiTheme="minorHAnsi" w:eastAsiaTheme="minorEastAsia" w:hAnsiTheme="minorHAnsi"/>
          <w:sz w:val="22"/>
        </w:rPr>
        <w:t>which establishes two new categories of federally regulated CCR</w:t>
      </w:r>
      <w:r w:rsidR="00E43639">
        <w:rPr>
          <w:rFonts w:asciiTheme="minorHAnsi" w:eastAsiaTheme="minorEastAsia" w:hAnsiTheme="minorHAnsi"/>
          <w:sz w:val="22"/>
        </w:rPr>
        <w:t xml:space="preserve"> units</w:t>
      </w:r>
      <w:r w:rsidR="00EE47DD">
        <w:rPr>
          <w:rFonts w:asciiTheme="minorHAnsi" w:eastAsiaTheme="minorEastAsia" w:hAnsiTheme="minorHAnsi"/>
          <w:sz w:val="22"/>
        </w:rPr>
        <w:t>:</w:t>
      </w:r>
      <w:r w:rsidR="00EE47DD" w:rsidRPr="000C75D8">
        <w:rPr>
          <w:rFonts w:asciiTheme="minorHAnsi" w:eastAsiaTheme="minorEastAsia" w:hAnsiTheme="minorHAnsi"/>
          <w:sz w:val="22"/>
        </w:rPr>
        <w:t xml:space="preserve"> </w:t>
      </w:r>
      <w:r w:rsidR="000C75D8" w:rsidRPr="000C75D8">
        <w:rPr>
          <w:rFonts w:asciiTheme="minorHAnsi" w:eastAsiaTheme="minorEastAsia" w:hAnsiTheme="minorHAnsi"/>
          <w:sz w:val="22"/>
        </w:rPr>
        <w:t xml:space="preserve">legacy surface impoundments and CCRMU. </w:t>
      </w:r>
    </w:p>
    <w:p w14:paraId="32D141A3" w14:textId="142E9FB1" w:rsidR="003751B2" w:rsidRDefault="003751B2" w:rsidP="009A4A30">
      <w:pPr>
        <w:pStyle w:val="ListParagraph"/>
        <w:numPr>
          <w:ilvl w:val="0"/>
          <w:numId w:val="3"/>
        </w:numPr>
        <w:spacing w:after="0" w:line="259" w:lineRule="auto"/>
        <w:rPr>
          <w:rFonts w:asciiTheme="minorHAnsi" w:eastAsiaTheme="minorEastAsia" w:hAnsiTheme="minorHAnsi"/>
          <w:sz w:val="22"/>
        </w:rPr>
      </w:pPr>
      <w:r>
        <w:rPr>
          <w:rFonts w:asciiTheme="minorHAnsi" w:eastAsiaTheme="minorEastAsia" w:hAnsiTheme="minorHAnsi"/>
          <w:sz w:val="22"/>
        </w:rPr>
        <w:t xml:space="preserve">Legacy surface impoundments are </w:t>
      </w:r>
      <w:r w:rsidR="009D44A5">
        <w:rPr>
          <w:rFonts w:asciiTheme="minorHAnsi" w:eastAsiaTheme="minorEastAsia" w:hAnsiTheme="minorHAnsi"/>
          <w:sz w:val="22"/>
        </w:rPr>
        <w:t>surface impoundments that no longer receives CCR but contained both CCR and liquids on or after October 19, 2015</w:t>
      </w:r>
      <w:r w:rsidR="004D263F">
        <w:rPr>
          <w:rFonts w:asciiTheme="minorHAnsi" w:eastAsiaTheme="minorEastAsia" w:hAnsiTheme="minorHAnsi"/>
          <w:sz w:val="22"/>
        </w:rPr>
        <w:t>,</w:t>
      </w:r>
      <w:r w:rsidR="00D129A5">
        <w:rPr>
          <w:rFonts w:asciiTheme="minorHAnsi" w:eastAsiaTheme="minorEastAsia" w:hAnsiTheme="minorHAnsi"/>
          <w:sz w:val="22"/>
        </w:rPr>
        <w:t xml:space="preserve"> and still contains both CCR and liquids on or after October 19, 2015.</w:t>
      </w:r>
    </w:p>
    <w:p w14:paraId="21BE0169" w14:textId="3C3B9DD3" w:rsidR="00D129A5" w:rsidRDefault="00D129A5" w:rsidP="009A4A30">
      <w:pPr>
        <w:pStyle w:val="ListParagraph"/>
        <w:numPr>
          <w:ilvl w:val="0"/>
          <w:numId w:val="3"/>
        </w:numPr>
        <w:spacing w:after="0" w:line="259" w:lineRule="auto"/>
        <w:rPr>
          <w:rFonts w:asciiTheme="minorHAnsi" w:eastAsiaTheme="minorEastAsia" w:hAnsiTheme="minorHAnsi"/>
          <w:sz w:val="22"/>
        </w:rPr>
      </w:pPr>
      <w:r>
        <w:rPr>
          <w:rFonts w:asciiTheme="minorHAnsi" w:eastAsiaTheme="minorEastAsia" w:hAnsiTheme="minorHAnsi"/>
          <w:sz w:val="22"/>
        </w:rPr>
        <w:lastRenderedPageBreak/>
        <w:t xml:space="preserve">CCRMU means </w:t>
      </w:r>
      <w:r w:rsidR="00393EB4">
        <w:rPr>
          <w:rFonts w:asciiTheme="minorHAnsi" w:eastAsiaTheme="minorEastAsia" w:hAnsiTheme="minorHAnsi"/>
          <w:sz w:val="22"/>
        </w:rPr>
        <w:t>an area of land in which any noncontainerized accumulation of CCR is received, place</w:t>
      </w:r>
      <w:r w:rsidR="005008C5">
        <w:rPr>
          <w:rFonts w:asciiTheme="minorHAnsi" w:eastAsiaTheme="minorEastAsia" w:hAnsiTheme="minorHAnsi"/>
          <w:sz w:val="22"/>
        </w:rPr>
        <w:t>d</w:t>
      </w:r>
      <w:r w:rsidR="00393EB4">
        <w:rPr>
          <w:rFonts w:asciiTheme="minorHAnsi" w:eastAsiaTheme="minorEastAsia" w:hAnsiTheme="minorHAnsi"/>
          <w:sz w:val="22"/>
        </w:rPr>
        <w:t xml:space="preserve">, or otherwise managed, that is not a regulated CCR unit. </w:t>
      </w:r>
      <w:r w:rsidR="00D2483F">
        <w:rPr>
          <w:rFonts w:asciiTheme="minorHAnsi" w:eastAsiaTheme="minorEastAsia" w:hAnsiTheme="minorHAnsi"/>
          <w:sz w:val="22"/>
        </w:rPr>
        <w:t xml:space="preserve">This does not include </w:t>
      </w:r>
      <w:r w:rsidR="00A57518" w:rsidRPr="00C412CC">
        <w:rPr>
          <w:rStyle w:val="normaltextrun"/>
          <w:rFonts w:asciiTheme="minorHAnsi" w:hAnsiTheme="minorHAnsi" w:cstheme="minorHAnsi"/>
          <w:sz w:val="22"/>
        </w:rPr>
        <w:t>roadbed and associated embankments in which CCR is used unless i</w:t>
      </w:r>
      <w:r w:rsidR="00A57518">
        <w:rPr>
          <w:rStyle w:val="normaltextrun"/>
          <w:rFonts w:asciiTheme="minorHAnsi" w:hAnsiTheme="minorHAnsi" w:cstheme="minorHAnsi"/>
          <w:sz w:val="22"/>
        </w:rPr>
        <w:t xml:space="preserve">t is </w:t>
      </w:r>
      <w:r w:rsidR="00A57518" w:rsidRPr="00C412CC">
        <w:rPr>
          <w:rStyle w:val="normaltextrun"/>
          <w:rFonts w:asciiTheme="minorHAnsi" w:hAnsiTheme="minorHAnsi" w:cstheme="minorHAnsi"/>
          <w:sz w:val="22"/>
        </w:rPr>
        <w:t>determine</w:t>
      </w:r>
      <w:r w:rsidR="00A57518">
        <w:rPr>
          <w:rStyle w:val="normaltextrun"/>
          <w:rFonts w:asciiTheme="minorHAnsi" w:hAnsiTheme="minorHAnsi" w:cstheme="minorHAnsi"/>
          <w:sz w:val="22"/>
        </w:rPr>
        <w:t>d</w:t>
      </w:r>
      <w:r w:rsidR="00A57518" w:rsidRPr="00C412CC">
        <w:rPr>
          <w:rStyle w:val="normaltextrun"/>
          <w:rFonts w:asciiTheme="minorHAnsi" w:hAnsiTheme="minorHAnsi" w:cstheme="minorHAnsi"/>
          <w:sz w:val="22"/>
        </w:rPr>
        <w:t xml:space="preserve"> that the roadbed is causing or contributing</w:t>
      </w:r>
      <w:r w:rsidR="00A57518">
        <w:rPr>
          <w:rStyle w:val="normaltextrun"/>
          <w:rFonts w:asciiTheme="minorHAnsi" w:hAnsiTheme="minorHAnsi" w:cstheme="minorHAnsi"/>
          <w:sz w:val="22"/>
        </w:rPr>
        <w:t xml:space="preserve"> to groundwater impacts.</w:t>
      </w:r>
    </w:p>
    <w:p w14:paraId="63F5111E" w14:textId="67F7662D" w:rsidR="0022291C" w:rsidRDefault="00B332B0" w:rsidP="009A4A30">
      <w:pPr>
        <w:pStyle w:val="ListParagraph"/>
        <w:numPr>
          <w:ilvl w:val="0"/>
          <w:numId w:val="3"/>
        </w:numPr>
        <w:spacing w:after="0" w:line="259" w:lineRule="auto"/>
        <w:rPr>
          <w:rFonts w:asciiTheme="minorHAnsi" w:eastAsiaTheme="minorEastAsia" w:hAnsiTheme="minorHAnsi"/>
          <w:sz w:val="22"/>
        </w:rPr>
      </w:pPr>
      <w:r>
        <w:rPr>
          <w:rFonts w:asciiTheme="minorHAnsi" w:eastAsiaTheme="minorEastAsia" w:hAnsiTheme="minorHAnsi"/>
          <w:sz w:val="22"/>
        </w:rPr>
        <w:t xml:space="preserve">The </w:t>
      </w:r>
      <w:r w:rsidR="00EE47DD">
        <w:rPr>
          <w:rFonts w:asciiTheme="minorHAnsi" w:eastAsiaTheme="minorEastAsia" w:hAnsiTheme="minorHAnsi"/>
          <w:sz w:val="22"/>
        </w:rPr>
        <w:t>final CCR Legacy Rule</w:t>
      </w:r>
      <w:r w:rsidR="00CC61DB">
        <w:rPr>
          <w:rFonts w:asciiTheme="minorHAnsi" w:eastAsiaTheme="minorEastAsia" w:hAnsiTheme="minorHAnsi"/>
          <w:sz w:val="22"/>
        </w:rPr>
        <w:t>:</w:t>
      </w:r>
    </w:p>
    <w:p w14:paraId="3D34E422" w14:textId="7EA45D2C" w:rsidR="0022291C" w:rsidRDefault="00B332B0" w:rsidP="009A4A30">
      <w:pPr>
        <w:pStyle w:val="ListParagraph"/>
        <w:numPr>
          <w:ilvl w:val="1"/>
          <w:numId w:val="30"/>
        </w:numPr>
        <w:spacing w:after="0" w:line="259" w:lineRule="auto"/>
        <w:rPr>
          <w:rFonts w:asciiTheme="minorHAnsi" w:eastAsiaTheme="minorEastAsia" w:hAnsiTheme="minorHAnsi"/>
          <w:sz w:val="22"/>
        </w:rPr>
      </w:pPr>
      <w:r>
        <w:rPr>
          <w:rFonts w:asciiTheme="minorHAnsi" w:eastAsiaTheme="minorEastAsia" w:hAnsiTheme="minorHAnsi"/>
          <w:sz w:val="22"/>
        </w:rPr>
        <w:t>R</w:t>
      </w:r>
      <w:r w:rsidR="0022291C">
        <w:rPr>
          <w:rFonts w:asciiTheme="minorHAnsi" w:eastAsiaTheme="minorEastAsia" w:hAnsiTheme="minorHAnsi"/>
          <w:sz w:val="22"/>
        </w:rPr>
        <w:t>equires</w:t>
      </w:r>
      <w:r w:rsidR="005E02FB">
        <w:rPr>
          <w:rFonts w:asciiTheme="minorHAnsi" w:eastAsiaTheme="minorEastAsia" w:hAnsiTheme="minorHAnsi"/>
          <w:sz w:val="22"/>
        </w:rPr>
        <w:t xml:space="preserve"> designation of</w:t>
      </w:r>
      <w:r w:rsidR="0022291C">
        <w:rPr>
          <w:rFonts w:asciiTheme="minorHAnsi" w:eastAsiaTheme="minorEastAsia" w:hAnsiTheme="minorHAnsi"/>
          <w:sz w:val="22"/>
        </w:rPr>
        <w:t xml:space="preserve"> legacy surface impoundments </w:t>
      </w:r>
      <w:r w:rsidR="008C7363">
        <w:rPr>
          <w:rFonts w:asciiTheme="minorHAnsi" w:eastAsiaTheme="minorEastAsia" w:hAnsiTheme="minorHAnsi"/>
          <w:sz w:val="22"/>
        </w:rPr>
        <w:t xml:space="preserve">through applicability reports by </w:t>
      </w:r>
      <w:r w:rsidR="005E02FB">
        <w:rPr>
          <w:rFonts w:asciiTheme="minorHAnsi" w:eastAsiaTheme="minorEastAsia" w:hAnsiTheme="minorHAnsi"/>
          <w:sz w:val="22"/>
        </w:rPr>
        <w:t>November 8, 2024</w:t>
      </w:r>
      <w:r w:rsidR="008C7363">
        <w:rPr>
          <w:rFonts w:asciiTheme="minorHAnsi" w:eastAsiaTheme="minorEastAsia" w:hAnsiTheme="minorHAnsi"/>
          <w:sz w:val="22"/>
        </w:rPr>
        <w:t>.</w:t>
      </w:r>
    </w:p>
    <w:p w14:paraId="19E87251" w14:textId="2A286F02" w:rsidR="008C7363" w:rsidRDefault="001D4E36" w:rsidP="009A4A30">
      <w:pPr>
        <w:pStyle w:val="ListParagraph"/>
        <w:numPr>
          <w:ilvl w:val="1"/>
          <w:numId w:val="30"/>
        </w:numPr>
        <w:spacing w:after="0" w:line="259" w:lineRule="auto"/>
        <w:rPr>
          <w:rFonts w:asciiTheme="minorHAnsi" w:eastAsiaTheme="minorEastAsia" w:hAnsiTheme="minorHAnsi"/>
          <w:sz w:val="22"/>
        </w:rPr>
      </w:pPr>
      <w:r>
        <w:rPr>
          <w:rFonts w:asciiTheme="minorHAnsi" w:eastAsiaTheme="minorEastAsia" w:hAnsiTheme="minorHAnsi"/>
          <w:sz w:val="22"/>
        </w:rPr>
        <w:t xml:space="preserve">Requires </w:t>
      </w:r>
      <w:r w:rsidR="00F14774">
        <w:rPr>
          <w:rFonts w:asciiTheme="minorHAnsi" w:eastAsiaTheme="minorEastAsia" w:hAnsiTheme="minorHAnsi"/>
          <w:sz w:val="22"/>
        </w:rPr>
        <w:t>owners</w:t>
      </w:r>
      <w:r w:rsidR="002711CE">
        <w:rPr>
          <w:rFonts w:asciiTheme="minorHAnsi" w:eastAsiaTheme="minorEastAsia" w:hAnsiTheme="minorHAnsi"/>
          <w:sz w:val="22"/>
        </w:rPr>
        <w:t xml:space="preserve"> of </w:t>
      </w:r>
      <w:r w:rsidR="002711CE" w:rsidRPr="00533F66">
        <w:rPr>
          <w:rFonts w:asciiTheme="minorHAnsi" w:eastAsiaTheme="minorEastAsia" w:hAnsiTheme="minorHAnsi"/>
          <w:sz w:val="22"/>
        </w:rPr>
        <w:t xml:space="preserve">an active facility or inactive facility with one or more </w:t>
      </w:r>
      <w:r w:rsidR="002711CE">
        <w:rPr>
          <w:rFonts w:asciiTheme="minorHAnsi" w:eastAsiaTheme="minorEastAsia" w:hAnsiTheme="minorHAnsi"/>
          <w:sz w:val="22"/>
        </w:rPr>
        <w:t>legac</w:t>
      </w:r>
      <w:r w:rsidR="002211D3">
        <w:rPr>
          <w:rFonts w:asciiTheme="minorHAnsi" w:eastAsiaTheme="minorEastAsia" w:hAnsiTheme="minorHAnsi"/>
          <w:sz w:val="22"/>
        </w:rPr>
        <w:t>y surface impoundment</w:t>
      </w:r>
      <w:r w:rsidR="002711CE" w:rsidRPr="00533F66">
        <w:rPr>
          <w:rFonts w:asciiTheme="minorHAnsi" w:eastAsiaTheme="minorEastAsia" w:hAnsiTheme="minorHAnsi"/>
          <w:sz w:val="22"/>
        </w:rPr>
        <w:t xml:space="preserve"> </w:t>
      </w:r>
      <w:r w:rsidR="009246AB">
        <w:rPr>
          <w:rFonts w:asciiTheme="minorHAnsi" w:eastAsiaTheme="minorEastAsia" w:hAnsiTheme="minorHAnsi"/>
          <w:sz w:val="22"/>
        </w:rPr>
        <w:t>to</w:t>
      </w:r>
      <w:r w:rsidR="002711CE" w:rsidRPr="00533F66">
        <w:rPr>
          <w:rFonts w:asciiTheme="minorHAnsi" w:eastAsiaTheme="minorEastAsia" w:hAnsiTheme="minorHAnsi"/>
          <w:sz w:val="22"/>
        </w:rPr>
        <w:t xml:space="preserve"> initiate a two-step facility evaluation process to identify all CCRMUs at the facility.</w:t>
      </w:r>
      <w:r w:rsidR="002711CE">
        <w:rPr>
          <w:rFonts w:asciiTheme="minorHAnsi" w:eastAsiaTheme="minorEastAsia" w:hAnsiTheme="minorHAnsi"/>
          <w:sz w:val="22"/>
        </w:rPr>
        <w:t xml:space="preserve"> </w:t>
      </w:r>
      <w:r w:rsidR="007E74A1">
        <w:rPr>
          <w:rFonts w:asciiTheme="minorHAnsi" w:eastAsiaTheme="minorEastAsia" w:hAnsiTheme="minorHAnsi"/>
          <w:sz w:val="22"/>
        </w:rPr>
        <w:t xml:space="preserve">The </w:t>
      </w:r>
      <w:r w:rsidR="008B311C">
        <w:rPr>
          <w:rFonts w:asciiTheme="minorHAnsi" w:eastAsiaTheme="minorEastAsia" w:hAnsiTheme="minorHAnsi"/>
          <w:sz w:val="22"/>
        </w:rPr>
        <w:t xml:space="preserve">Part 1 </w:t>
      </w:r>
      <w:r w:rsidR="007E74A1">
        <w:rPr>
          <w:rFonts w:asciiTheme="minorHAnsi" w:eastAsiaTheme="minorEastAsia" w:hAnsiTheme="minorHAnsi"/>
          <w:sz w:val="22"/>
        </w:rPr>
        <w:t>report</w:t>
      </w:r>
      <w:r w:rsidR="00696B91">
        <w:rPr>
          <w:rFonts w:asciiTheme="minorHAnsi" w:eastAsiaTheme="minorEastAsia" w:hAnsiTheme="minorHAnsi"/>
          <w:sz w:val="22"/>
        </w:rPr>
        <w:t xml:space="preserve"> </w:t>
      </w:r>
      <w:r w:rsidR="00C808FE">
        <w:rPr>
          <w:rFonts w:asciiTheme="minorHAnsi" w:eastAsiaTheme="minorEastAsia" w:hAnsiTheme="minorHAnsi"/>
          <w:sz w:val="22"/>
        </w:rPr>
        <w:t>is due</w:t>
      </w:r>
      <w:r w:rsidR="00A16BA5">
        <w:rPr>
          <w:rFonts w:asciiTheme="minorHAnsi" w:eastAsiaTheme="minorEastAsia" w:hAnsiTheme="minorHAnsi"/>
          <w:sz w:val="22"/>
        </w:rPr>
        <w:t xml:space="preserve"> in</w:t>
      </w:r>
      <w:r w:rsidR="00C808FE">
        <w:rPr>
          <w:rFonts w:asciiTheme="minorHAnsi" w:eastAsiaTheme="minorEastAsia" w:hAnsiTheme="minorHAnsi"/>
          <w:sz w:val="22"/>
        </w:rPr>
        <w:t xml:space="preserve"> 2026</w:t>
      </w:r>
      <w:r w:rsidR="00A16BA5">
        <w:rPr>
          <w:rFonts w:asciiTheme="minorHAnsi" w:eastAsiaTheme="minorEastAsia" w:hAnsiTheme="minorHAnsi"/>
          <w:sz w:val="22"/>
        </w:rPr>
        <w:t xml:space="preserve"> and</w:t>
      </w:r>
      <w:r w:rsidR="007E74A1">
        <w:rPr>
          <w:rFonts w:asciiTheme="minorHAnsi" w:eastAsiaTheme="minorEastAsia" w:hAnsiTheme="minorHAnsi"/>
          <w:sz w:val="22"/>
        </w:rPr>
        <w:t xml:space="preserve"> </w:t>
      </w:r>
      <w:r w:rsidR="008132A5">
        <w:rPr>
          <w:rFonts w:asciiTheme="minorHAnsi" w:eastAsiaTheme="minorEastAsia" w:hAnsiTheme="minorHAnsi"/>
          <w:sz w:val="22"/>
        </w:rPr>
        <w:t xml:space="preserve">will include </w:t>
      </w:r>
      <w:r w:rsidR="00900D77">
        <w:rPr>
          <w:rFonts w:asciiTheme="minorHAnsi" w:eastAsiaTheme="minorEastAsia" w:hAnsiTheme="minorHAnsi"/>
          <w:sz w:val="22"/>
        </w:rPr>
        <w:t xml:space="preserve">evaluations of historical and current documents, desktop studies, and </w:t>
      </w:r>
      <w:r w:rsidR="00C808FE">
        <w:rPr>
          <w:rFonts w:asciiTheme="minorHAnsi" w:eastAsiaTheme="minorEastAsia" w:hAnsiTheme="minorHAnsi"/>
          <w:sz w:val="22"/>
        </w:rPr>
        <w:t xml:space="preserve">a </w:t>
      </w:r>
      <w:r w:rsidR="00BA5B75">
        <w:rPr>
          <w:rFonts w:asciiTheme="minorHAnsi" w:eastAsiaTheme="minorEastAsia" w:hAnsiTheme="minorHAnsi"/>
          <w:sz w:val="22"/>
        </w:rPr>
        <w:t>site eval</w:t>
      </w:r>
      <w:r w:rsidR="00083D14">
        <w:rPr>
          <w:rFonts w:asciiTheme="minorHAnsi" w:eastAsiaTheme="minorEastAsia" w:hAnsiTheme="minorHAnsi"/>
          <w:sz w:val="22"/>
        </w:rPr>
        <w:t xml:space="preserve">uation plan </w:t>
      </w:r>
      <w:r w:rsidR="002B3A50">
        <w:rPr>
          <w:rFonts w:asciiTheme="minorHAnsi" w:eastAsiaTheme="minorEastAsia" w:hAnsiTheme="minorHAnsi"/>
          <w:sz w:val="22"/>
        </w:rPr>
        <w:t xml:space="preserve">to </w:t>
      </w:r>
      <w:r w:rsidR="007F3A3D">
        <w:rPr>
          <w:rFonts w:asciiTheme="minorHAnsi" w:eastAsiaTheme="minorEastAsia" w:hAnsiTheme="minorHAnsi"/>
          <w:sz w:val="22"/>
        </w:rPr>
        <w:t>identify data gaps</w:t>
      </w:r>
      <w:r w:rsidR="00A16BA5">
        <w:rPr>
          <w:rFonts w:asciiTheme="minorHAnsi" w:eastAsiaTheme="minorEastAsia" w:hAnsiTheme="minorHAnsi"/>
          <w:sz w:val="22"/>
        </w:rPr>
        <w:t>.</w:t>
      </w:r>
      <w:r w:rsidR="008B311C">
        <w:rPr>
          <w:rFonts w:asciiTheme="minorHAnsi" w:eastAsiaTheme="minorEastAsia" w:hAnsiTheme="minorHAnsi"/>
          <w:sz w:val="22"/>
        </w:rPr>
        <w:t xml:space="preserve"> </w:t>
      </w:r>
      <w:r w:rsidR="00A16BA5">
        <w:rPr>
          <w:rFonts w:asciiTheme="minorHAnsi" w:eastAsiaTheme="minorEastAsia" w:hAnsiTheme="minorHAnsi"/>
          <w:sz w:val="22"/>
        </w:rPr>
        <w:t>T</w:t>
      </w:r>
      <w:r w:rsidR="008B311C">
        <w:rPr>
          <w:rFonts w:asciiTheme="minorHAnsi" w:eastAsiaTheme="minorEastAsia" w:hAnsiTheme="minorHAnsi"/>
          <w:sz w:val="22"/>
        </w:rPr>
        <w:t>he Part 2 report i</w:t>
      </w:r>
      <w:r w:rsidR="00A16BA5">
        <w:rPr>
          <w:rFonts w:asciiTheme="minorHAnsi" w:eastAsiaTheme="minorEastAsia" w:hAnsiTheme="minorHAnsi"/>
          <w:sz w:val="22"/>
        </w:rPr>
        <w:t xml:space="preserve">s due </w:t>
      </w:r>
      <w:r w:rsidR="008B311C">
        <w:rPr>
          <w:rFonts w:asciiTheme="minorHAnsi" w:eastAsiaTheme="minorEastAsia" w:hAnsiTheme="minorHAnsi"/>
          <w:sz w:val="22"/>
        </w:rPr>
        <w:t>in 2027</w:t>
      </w:r>
      <w:r w:rsidR="00A16BA5">
        <w:rPr>
          <w:rFonts w:asciiTheme="minorHAnsi" w:eastAsiaTheme="minorEastAsia" w:hAnsiTheme="minorHAnsi"/>
          <w:sz w:val="22"/>
        </w:rPr>
        <w:t xml:space="preserve"> and will </w:t>
      </w:r>
      <w:r w:rsidR="00C12D7F">
        <w:rPr>
          <w:rFonts w:asciiTheme="minorHAnsi" w:eastAsiaTheme="minorEastAsia" w:hAnsiTheme="minorHAnsi"/>
          <w:sz w:val="22"/>
        </w:rPr>
        <w:t xml:space="preserve">include any information </w:t>
      </w:r>
      <w:r w:rsidR="00B71EF2">
        <w:rPr>
          <w:rFonts w:asciiTheme="minorHAnsi" w:eastAsiaTheme="minorEastAsia" w:hAnsiTheme="minorHAnsi"/>
          <w:sz w:val="22"/>
        </w:rPr>
        <w:t xml:space="preserve">from the physical site evaluation </w:t>
      </w:r>
      <w:r w:rsidR="00800750">
        <w:rPr>
          <w:rFonts w:asciiTheme="minorHAnsi" w:eastAsiaTheme="minorEastAsia" w:hAnsiTheme="minorHAnsi"/>
          <w:sz w:val="22"/>
        </w:rPr>
        <w:t>as well as identify potential CCRMUs to be regulated</w:t>
      </w:r>
      <w:r w:rsidR="007E74A1">
        <w:rPr>
          <w:rFonts w:asciiTheme="minorHAnsi" w:eastAsiaTheme="minorEastAsia" w:hAnsiTheme="minorHAnsi"/>
          <w:sz w:val="22"/>
        </w:rPr>
        <w:t>.</w:t>
      </w:r>
      <w:r w:rsidR="00533F66">
        <w:rPr>
          <w:rFonts w:asciiTheme="minorHAnsi" w:eastAsiaTheme="minorEastAsia" w:hAnsiTheme="minorHAnsi"/>
          <w:sz w:val="22"/>
        </w:rPr>
        <w:t xml:space="preserve"> </w:t>
      </w:r>
    </w:p>
    <w:p w14:paraId="6260590E" w14:textId="1B1F26F8" w:rsidR="00B332B0" w:rsidRDefault="00CC61DB" w:rsidP="009A4A30">
      <w:pPr>
        <w:pStyle w:val="ListParagraph"/>
        <w:numPr>
          <w:ilvl w:val="1"/>
          <w:numId w:val="30"/>
        </w:numPr>
        <w:spacing w:after="0" w:line="259" w:lineRule="auto"/>
        <w:rPr>
          <w:rFonts w:asciiTheme="minorHAnsi" w:eastAsiaTheme="minorEastAsia" w:hAnsiTheme="minorHAnsi"/>
          <w:sz w:val="22"/>
        </w:rPr>
      </w:pPr>
      <w:r>
        <w:rPr>
          <w:rFonts w:asciiTheme="minorHAnsi" w:eastAsiaTheme="minorEastAsia" w:hAnsiTheme="minorHAnsi"/>
          <w:sz w:val="22"/>
        </w:rPr>
        <w:t>Requires</w:t>
      </w:r>
      <w:r w:rsidR="000C75D8" w:rsidRPr="000C75D8">
        <w:rPr>
          <w:rFonts w:asciiTheme="minorHAnsi" w:eastAsiaTheme="minorEastAsia" w:hAnsiTheme="minorHAnsi"/>
          <w:sz w:val="22"/>
        </w:rPr>
        <w:t xml:space="preserve"> legacy surface impoundments and CCRMUs to meet certain existing regulatory requirements, including a requirement to initiate </w:t>
      </w:r>
      <w:r w:rsidR="009156F1">
        <w:rPr>
          <w:rFonts w:asciiTheme="minorHAnsi" w:eastAsiaTheme="minorEastAsia" w:hAnsiTheme="minorHAnsi"/>
          <w:sz w:val="22"/>
        </w:rPr>
        <w:t>closure by 2028</w:t>
      </w:r>
      <w:r w:rsidR="000C75D8" w:rsidRPr="000C75D8">
        <w:rPr>
          <w:rFonts w:asciiTheme="minorHAnsi" w:eastAsiaTheme="minorEastAsia" w:hAnsiTheme="minorHAnsi"/>
          <w:sz w:val="22"/>
        </w:rPr>
        <w:t xml:space="preserve"> for legacy surface impoundments and </w:t>
      </w:r>
      <w:r w:rsidR="00C54A56">
        <w:rPr>
          <w:rFonts w:asciiTheme="minorHAnsi" w:eastAsiaTheme="minorEastAsia" w:hAnsiTheme="minorHAnsi"/>
          <w:sz w:val="22"/>
        </w:rPr>
        <w:t>by 2029</w:t>
      </w:r>
      <w:r w:rsidR="000C75D8" w:rsidRPr="000C75D8">
        <w:rPr>
          <w:rFonts w:asciiTheme="minorHAnsi" w:eastAsiaTheme="minorEastAsia" w:hAnsiTheme="minorHAnsi"/>
          <w:sz w:val="22"/>
        </w:rPr>
        <w:t xml:space="preserve"> for CCRMUs</w:t>
      </w:r>
      <w:r w:rsidR="002F2416">
        <w:rPr>
          <w:rFonts w:asciiTheme="minorHAnsi" w:eastAsiaTheme="minorEastAsia" w:hAnsiTheme="minorHAnsi"/>
          <w:sz w:val="22"/>
        </w:rPr>
        <w:t>.</w:t>
      </w:r>
      <w:r w:rsidR="000439C6">
        <w:rPr>
          <w:rFonts w:asciiTheme="minorHAnsi" w:eastAsiaTheme="minorEastAsia" w:hAnsiTheme="minorHAnsi"/>
          <w:sz w:val="22"/>
        </w:rPr>
        <w:t xml:space="preserve"> </w:t>
      </w:r>
    </w:p>
    <w:p w14:paraId="1A828A4D" w14:textId="649423C3" w:rsidR="00957EE7" w:rsidRDefault="00CC61DB" w:rsidP="009A4A30">
      <w:pPr>
        <w:pStyle w:val="ListParagraph"/>
        <w:numPr>
          <w:ilvl w:val="1"/>
          <w:numId w:val="30"/>
        </w:numPr>
        <w:spacing w:after="0" w:line="259" w:lineRule="auto"/>
        <w:rPr>
          <w:rFonts w:asciiTheme="minorHAnsi" w:eastAsiaTheme="minorEastAsia" w:hAnsiTheme="minorHAnsi"/>
          <w:sz w:val="22"/>
        </w:rPr>
      </w:pPr>
      <w:r>
        <w:rPr>
          <w:rFonts w:asciiTheme="minorHAnsi" w:eastAsiaTheme="minorEastAsia" w:hAnsiTheme="minorHAnsi"/>
          <w:sz w:val="22"/>
        </w:rPr>
        <w:t xml:space="preserve">Provides </w:t>
      </w:r>
      <w:r w:rsidR="1D13A2F1" w:rsidRPr="38BE69CB">
        <w:rPr>
          <w:rFonts w:asciiTheme="minorHAnsi" w:eastAsiaTheme="minorEastAsia" w:hAnsiTheme="minorHAnsi"/>
          <w:sz w:val="22"/>
        </w:rPr>
        <w:t xml:space="preserve">the </w:t>
      </w:r>
      <w:r w:rsidR="000C75D8" w:rsidRPr="000C75D8">
        <w:rPr>
          <w:rFonts w:asciiTheme="minorHAnsi" w:eastAsiaTheme="minorEastAsia" w:hAnsiTheme="minorHAnsi"/>
          <w:sz w:val="22"/>
        </w:rPr>
        <w:t xml:space="preserve">option to defer closure of previously closed units where certain criteria have been met. </w:t>
      </w:r>
    </w:p>
    <w:p w14:paraId="625C2290" w14:textId="26A430E9" w:rsidR="00AF2D06" w:rsidRDefault="00957EE7" w:rsidP="009A4A30">
      <w:pPr>
        <w:pStyle w:val="ListParagraph"/>
        <w:numPr>
          <w:ilvl w:val="1"/>
          <w:numId w:val="30"/>
        </w:numPr>
        <w:spacing w:after="0" w:line="259" w:lineRule="auto"/>
        <w:rPr>
          <w:rFonts w:asciiTheme="minorHAnsi" w:eastAsiaTheme="minorEastAsia" w:hAnsiTheme="minorHAnsi"/>
          <w:sz w:val="22"/>
        </w:rPr>
      </w:pPr>
      <w:r>
        <w:rPr>
          <w:rFonts w:asciiTheme="minorHAnsi" w:eastAsiaTheme="minorEastAsia" w:hAnsiTheme="minorHAnsi"/>
          <w:sz w:val="22"/>
        </w:rPr>
        <w:t>Finalized</w:t>
      </w:r>
      <w:r w:rsidR="00BC6536">
        <w:rPr>
          <w:rFonts w:asciiTheme="minorHAnsi" w:eastAsiaTheme="minorEastAsia" w:hAnsiTheme="minorHAnsi"/>
          <w:sz w:val="22"/>
        </w:rPr>
        <w:t xml:space="preserve"> </w:t>
      </w:r>
      <w:r w:rsidR="000C75D8" w:rsidRPr="000C75D8">
        <w:rPr>
          <w:rFonts w:asciiTheme="minorHAnsi" w:eastAsiaTheme="minorEastAsia" w:hAnsiTheme="minorHAnsi"/>
          <w:sz w:val="22"/>
        </w:rPr>
        <w:t>an alternative provision for closure by removal that will allow</w:t>
      </w:r>
      <w:r w:rsidR="00FF52A9">
        <w:rPr>
          <w:rFonts w:asciiTheme="minorHAnsi" w:eastAsiaTheme="minorEastAsia" w:hAnsiTheme="minorHAnsi"/>
          <w:sz w:val="22"/>
        </w:rPr>
        <w:t xml:space="preserve"> owners or operators</w:t>
      </w:r>
      <w:r w:rsidR="00037D5E">
        <w:rPr>
          <w:rFonts w:asciiTheme="minorHAnsi" w:eastAsiaTheme="minorEastAsia" w:hAnsiTheme="minorHAnsi"/>
          <w:sz w:val="22"/>
        </w:rPr>
        <w:t xml:space="preserve"> to</w:t>
      </w:r>
      <w:r w:rsidR="000C75D8" w:rsidRPr="000C75D8">
        <w:rPr>
          <w:rFonts w:asciiTheme="minorHAnsi" w:eastAsiaTheme="minorEastAsia" w:hAnsiTheme="minorHAnsi"/>
          <w:sz w:val="22"/>
        </w:rPr>
        <w:t xml:space="preserve"> certify completion of closure while conducting groundwater monitoring and corrective action during post-closure care.</w:t>
      </w:r>
      <w:r w:rsidR="349A84F4" w:rsidRPr="322C2331">
        <w:rPr>
          <w:rFonts w:asciiTheme="minorHAnsi" w:eastAsiaTheme="minorEastAsia" w:hAnsiTheme="minorHAnsi"/>
          <w:sz w:val="22"/>
        </w:rPr>
        <w:t xml:space="preserve"> </w:t>
      </w:r>
    </w:p>
    <w:p w14:paraId="42559DD0" w14:textId="56C0C9FB" w:rsidR="003868ED" w:rsidRPr="00BD765D" w:rsidRDefault="003868ED" w:rsidP="009A4A30">
      <w:pPr>
        <w:pStyle w:val="ListParagraph"/>
        <w:numPr>
          <w:ilvl w:val="1"/>
          <w:numId w:val="30"/>
        </w:numPr>
        <w:spacing w:after="0" w:line="259" w:lineRule="auto"/>
      </w:pPr>
      <w:r>
        <w:rPr>
          <w:rFonts w:asciiTheme="minorHAnsi" w:eastAsiaTheme="minorEastAsia" w:hAnsiTheme="minorHAnsi"/>
          <w:sz w:val="22"/>
        </w:rPr>
        <w:t>Created</w:t>
      </w:r>
      <w:r w:rsidRPr="003868ED">
        <w:rPr>
          <w:rFonts w:asciiTheme="minorHAnsi" w:eastAsiaTheme="minorEastAsia" w:hAnsiTheme="minorHAnsi"/>
          <w:sz w:val="22"/>
        </w:rPr>
        <w:t xml:space="preserve"> new definitions for key terms related to the performance standards for ash ponds that are closed in place. These new definitions for infiltration and liquids </w:t>
      </w:r>
      <w:r w:rsidR="00BD765D" w:rsidRPr="00BD765D">
        <w:rPr>
          <w:rFonts w:asciiTheme="minorHAnsi" w:eastAsiaTheme="minorEastAsia" w:hAnsiTheme="minorHAnsi"/>
          <w:sz w:val="22"/>
        </w:rPr>
        <w:t>primarily</w:t>
      </w:r>
      <w:r w:rsidRPr="003868ED">
        <w:rPr>
          <w:rFonts w:asciiTheme="minorHAnsi" w:eastAsiaTheme="minorEastAsia" w:hAnsiTheme="minorHAnsi"/>
          <w:sz w:val="22"/>
        </w:rPr>
        <w:t xml:space="preserve"> reflect </w:t>
      </w:r>
      <w:r w:rsidR="00BD765D" w:rsidRPr="00BD765D">
        <w:rPr>
          <w:rFonts w:asciiTheme="minorHAnsi" w:eastAsiaTheme="minorEastAsia" w:hAnsiTheme="minorHAnsi"/>
          <w:sz w:val="22"/>
        </w:rPr>
        <w:t xml:space="preserve">the </w:t>
      </w:r>
      <w:r w:rsidRPr="003868ED">
        <w:rPr>
          <w:rFonts w:asciiTheme="minorHAnsi" w:eastAsiaTheme="minorEastAsia" w:hAnsiTheme="minorHAnsi"/>
          <w:sz w:val="22"/>
        </w:rPr>
        <w:t>EPA’s new interpretations of these standards, first announced in January 2022</w:t>
      </w:r>
      <w:r w:rsidR="00BD765D" w:rsidRPr="00BD765D">
        <w:rPr>
          <w:rFonts w:asciiTheme="minorHAnsi" w:eastAsiaTheme="minorEastAsia" w:hAnsiTheme="minorHAnsi"/>
          <w:sz w:val="22"/>
        </w:rPr>
        <w:t>. They indicate</w:t>
      </w:r>
      <w:r w:rsidRPr="003868ED">
        <w:rPr>
          <w:rFonts w:asciiTheme="minorHAnsi" w:eastAsiaTheme="minorEastAsia" w:hAnsiTheme="minorHAnsi"/>
          <w:sz w:val="22"/>
        </w:rPr>
        <w:t xml:space="preserve"> that </w:t>
      </w:r>
      <w:r w:rsidR="00BD765D" w:rsidRPr="00BD765D">
        <w:rPr>
          <w:rFonts w:asciiTheme="minorHAnsi" w:eastAsiaTheme="minorEastAsia" w:hAnsiTheme="minorHAnsi"/>
          <w:sz w:val="22"/>
        </w:rPr>
        <w:t xml:space="preserve">both </w:t>
      </w:r>
      <w:r w:rsidRPr="003868ED">
        <w:rPr>
          <w:rFonts w:asciiTheme="minorHAnsi" w:eastAsiaTheme="minorEastAsia" w:hAnsiTheme="minorHAnsi"/>
          <w:sz w:val="22"/>
        </w:rPr>
        <w:t xml:space="preserve">lateral </w:t>
      </w:r>
      <w:r w:rsidR="00BD765D" w:rsidRPr="00BD765D">
        <w:rPr>
          <w:rFonts w:asciiTheme="minorHAnsi" w:eastAsiaTheme="minorEastAsia" w:hAnsiTheme="minorHAnsi"/>
          <w:sz w:val="22"/>
        </w:rPr>
        <w:t xml:space="preserve">and vertical </w:t>
      </w:r>
      <w:r w:rsidRPr="003868ED">
        <w:rPr>
          <w:rFonts w:asciiTheme="minorHAnsi" w:eastAsiaTheme="minorEastAsia" w:hAnsiTheme="minorHAnsi"/>
          <w:sz w:val="22"/>
        </w:rPr>
        <w:t xml:space="preserve">infiltration must be minimized to the </w:t>
      </w:r>
      <w:r w:rsidR="00BD765D" w:rsidRPr="00BD765D">
        <w:rPr>
          <w:rFonts w:asciiTheme="minorHAnsi" w:eastAsiaTheme="minorEastAsia" w:hAnsiTheme="minorHAnsi"/>
          <w:sz w:val="22"/>
        </w:rPr>
        <w:t xml:space="preserve">greatest </w:t>
      </w:r>
      <w:r w:rsidRPr="003868ED">
        <w:rPr>
          <w:rFonts w:asciiTheme="minorHAnsi" w:eastAsiaTheme="minorEastAsia" w:hAnsiTheme="minorHAnsi"/>
          <w:sz w:val="22"/>
        </w:rPr>
        <w:t>extent practicable</w:t>
      </w:r>
      <w:r w:rsidR="00BD765D" w:rsidRPr="00BD765D">
        <w:rPr>
          <w:rFonts w:asciiTheme="minorHAnsi" w:eastAsiaTheme="minorEastAsia" w:hAnsiTheme="minorHAnsi"/>
          <w:sz w:val="22"/>
        </w:rPr>
        <w:t>. Additionally, the longstanding</w:t>
      </w:r>
      <w:r w:rsidRPr="003868ED">
        <w:rPr>
          <w:rFonts w:asciiTheme="minorHAnsi" w:eastAsiaTheme="minorEastAsia" w:hAnsiTheme="minorHAnsi"/>
          <w:sz w:val="22"/>
        </w:rPr>
        <w:t xml:space="preserve"> practice of dewatering </w:t>
      </w:r>
      <w:r w:rsidR="00BD765D" w:rsidRPr="00BD765D">
        <w:rPr>
          <w:rFonts w:asciiTheme="minorHAnsi" w:eastAsiaTheme="minorEastAsia" w:hAnsiTheme="minorHAnsi"/>
          <w:sz w:val="22"/>
        </w:rPr>
        <w:t xml:space="preserve">has been expanded </w:t>
      </w:r>
      <w:r w:rsidRPr="003868ED">
        <w:rPr>
          <w:rFonts w:asciiTheme="minorHAnsi" w:eastAsiaTheme="minorEastAsia" w:hAnsiTheme="minorHAnsi"/>
          <w:sz w:val="22"/>
        </w:rPr>
        <w:t>to include groundwater</w:t>
      </w:r>
      <w:r w:rsidR="00BD765D" w:rsidRPr="00BD765D">
        <w:rPr>
          <w:rFonts w:asciiTheme="minorHAnsi" w:eastAsiaTheme="minorEastAsia" w:hAnsiTheme="minorHAnsi"/>
          <w:sz w:val="22"/>
        </w:rPr>
        <w:t>,</w:t>
      </w:r>
      <w:r w:rsidRPr="003868ED">
        <w:rPr>
          <w:rFonts w:asciiTheme="minorHAnsi" w:eastAsiaTheme="minorEastAsia" w:hAnsiTheme="minorHAnsi"/>
          <w:sz w:val="22"/>
        </w:rPr>
        <w:t xml:space="preserve"> not </w:t>
      </w:r>
      <w:r w:rsidR="00BD765D" w:rsidRPr="00BD765D">
        <w:rPr>
          <w:rFonts w:asciiTheme="minorHAnsi" w:eastAsiaTheme="minorEastAsia" w:hAnsiTheme="minorHAnsi"/>
          <w:sz w:val="22"/>
        </w:rPr>
        <w:t>only</w:t>
      </w:r>
      <w:r w:rsidRPr="003868ED">
        <w:rPr>
          <w:rFonts w:asciiTheme="minorHAnsi" w:eastAsiaTheme="minorEastAsia" w:hAnsiTheme="minorHAnsi"/>
          <w:sz w:val="22"/>
        </w:rPr>
        <w:t xml:space="preserve"> the free water necessary for </w:t>
      </w:r>
      <w:r w:rsidR="00BD765D" w:rsidRPr="00BD765D">
        <w:rPr>
          <w:rFonts w:asciiTheme="minorHAnsi" w:eastAsiaTheme="minorEastAsia" w:hAnsiTheme="minorHAnsi"/>
          <w:sz w:val="22"/>
        </w:rPr>
        <w:t xml:space="preserve">achieving </w:t>
      </w:r>
      <w:r w:rsidRPr="003868ED">
        <w:rPr>
          <w:rFonts w:asciiTheme="minorHAnsi" w:eastAsiaTheme="minorEastAsia" w:hAnsiTheme="minorHAnsi"/>
          <w:sz w:val="22"/>
        </w:rPr>
        <w:t xml:space="preserve">stability </w:t>
      </w:r>
      <w:r w:rsidR="00BD765D" w:rsidRPr="00BD765D">
        <w:rPr>
          <w:rFonts w:asciiTheme="minorHAnsi" w:eastAsiaTheme="minorEastAsia" w:hAnsiTheme="minorHAnsi"/>
          <w:sz w:val="22"/>
        </w:rPr>
        <w:t xml:space="preserve">during the installation of </w:t>
      </w:r>
      <w:r w:rsidRPr="003868ED">
        <w:rPr>
          <w:rFonts w:asciiTheme="minorHAnsi" w:eastAsiaTheme="minorEastAsia" w:hAnsiTheme="minorHAnsi"/>
          <w:sz w:val="22"/>
        </w:rPr>
        <w:t xml:space="preserve">effective closure capping. The retroactive applicability of these definitions is </w:t>
      </w:r>
      <w:r w:rsidR="53E1E89C" w:rsidRPr="00BD765D">
        <w:rPr>
          <w:rFonts w:asciiTheme="minorHAnsi" w:eastAsiaTheme="minorEastAsia" w:hAnsiTheme="minorHAnsi"/>
          <w:sz w:val="22"/>
        </w:rPr>
        <w:t>being</w:t>
      </w:r>
      <w:r w:rsidRPr="00BD765D">
        <w:rPr>
          <w:rFonts w:asciiTheme="minorHAnsi" w:eastAsiaTheme="minorEastAsia" w:hAnsiTheme="minorHAnsi"/>
          <w:sz w:val="22"/>
        </w:rPr>
        <w:t xml:space="preserve"> lega</w:t>
      </w:r>
      <w:r w:rsidR="00BD765D" w:rsidRPr="00BD765D">
        <w:rPr>
          <w:rFonts w:asciiTheme="minorHAnsi" w:eastAsiaTheme="minorEastAsia" w:hAnsiTheme="minorHAnsi"/>
          <w:sz w:val="22"/>
        </w:rPr>
        <w:t>l</w:t>
      </w:r>
      <w:r w:rsidRPr="00BD765D">
        <w:rPr>
          <w:rFonts w:asciiTheme="minorHAnsi" w:eastAsiaTheme="minorEastAsia" w:hAnsiTheme="minorHAnsi"/>
          <w:sz w:val="22"/>
        </w:rPr>
        <w:t>l</w:t>
      </w:r>
      <w:r w:rsidR="00BD765D" w:rsidRPr="00BD765D">
        <w:rPr>
          <w:rFonts w:asciiTheme="minorHAnsi" w:eastAsiaTheme="minorEastAsia" w:hAnsiTheme="minorHAnsi"/>
          <w:sz w:val="22"/>
        </w:rPr>
        <w:t>y</w:t>
      </w:r>
      <w:r w:rsidRPr="00BD765D">
        <w:rPr>
          <w:rFonts w:asciiTheme="minorHAnsi" w:eastAsiaTheme="minorEastAsia" w:hAnsiTheme="minorHAnsi"/>
          <w:sz w:val="22"/>
        </w:rPr>
        <w:t xml:space="preserve"> challenge</w:t>
      </w:r>
      <w:r w:rsidR="57AA1E61" w:rsidRPr="00BD765D">
        <w:rPr>
          <w:rFonts w:asciiTheme="minorHAnsi" w:eastAsiaTheme="minorEastAsia" w:hAnsiTheme="minorHAnsi"/>
          <w:sz w:val="22"/>
        </w:rPr>
        <w:t>d</w:t>
      </w:r>
      <w:r w:rsidRPr="003868ED">
        <w:rPr>
          <w:rFonts w:asciiTheme="minorHAnsi" w:eastAsiaTheme="minorEastAsia" w:hAnsiTheme="minorHAnsi"/>
          <w:sz w:val="22"/>
        </w:rPr>
        <w:t>.</w:t>
      </w:r>
    </w:p>
    <w:p w14:paraId="0B9E8B12" w14:textId="05E45DB0" w:rsidR="00796E9A" w:rsidRPr="009E076E" w:rsidRDefault="00796E9A" w:rsidP="009A4A30">
      <w:pPr>
        <w:pStyle w:val="ListParagraph"/>
        <w:numPr>
          <w:ilvl w:val="0"/>
          <w:numId w:val="3"/>
        </w:numPr>
        <w:spacing w:after="0" w:line="259" w:lineRule="auto"/>
        <w:rPr>
          <w:rFonts w:asciiTheme="minorHAnsi" w:eastAsiaTheme="minorEastAsia" w:hAnsiTheme="minorHAnsi"/>
          <w:sz w:val="22"/>
        </w:rPr>
      </w:pPr>
      <w:r w:rsidRPr="009E076E">
        <w:rPr>
          <w:rFonts w:asciiTheme="minorHAnsi" w:eastAsiaTheme="minorEastAsia" w:hAnsiTheme="minorHAnsi"/>
          <w:sz w:val="22"/>
        </w:rPr>
        <w:t xml:space="preserve">Multiple </w:t>
      </w:r>
      <w:r w:rsidR="31730944" w:rsidRPr="009E076E">
        <w:rPr>
          <w:rFonts w:asciiTheme="minorHAnsi" w:eastAsiaTheme="minorEastAsia" w:hAnsiTheme="minorHAnsi"/>
          <w:sz w:val="22"/>
        </w:rPr>
        <w:t>petitions for review challenging</w:t>
      </w:r>
      <w:r w:rsidRPr="009E076E">
        <w:rPr>
          <w:rFonts w:asciiTheme="minorHAnsi" w:eastAsiaTheme="minorEastAsia" w:hAnsiTheme="minorHAnsi"/>
          <w:sz w:val="22"/>
        </w:rPr>
        <w:t xml:space="preserve"> the CCR </w:t>
      </w:r>
      <w:r w:rsidR="00A0190A" w:rsidRPr="009E076E">
        <w:rPr>
          <w:rFonts w:asciiTheme="minorHAnsi" w:eastAsiaTheme="minorEastAsia" w:hAnsiTheme="minorHAnsi"/>
          <w:sz w:val="22"/>
        </w:rPr>
        <w:t xml:space="preserve">Legacy </w:t>
      </w:r>
      <w:r w:rsidR="00A0190A">
        <w:rPr>
          <w:rFonts w:asciiTheme="minorHAnsi" w:eastAsiaTheme="minorEastAsia" w:hAnsiTheme="minorHAnsi"/>
          <w:sz w:val="22"/>
        </w:rPr>
        <w:t>R</w:t>
      </w:r>
      <w:r w:rsidR="00A0190A" w:rsidRPr="009E076E">
        <w:rPr>
          <w:rFonts w:asciiTheme="minorHAnsi" w:eastAsiaTheme="minorEastAsia" w:hAnsiTheme="minorHAnsi"/>
          <w:sz w:val="22"/>
        </w:rPr>
        <w:t xml:space="preserve">ule </w:t>
      </w:r>
      <w:r w:rsidRPr="009E076E">
        <w:rPr>
          <w:rFonts w:asciiTheme="minorHAnsi" w:eastAsiaTheme="minorEastAsia" w:hAnsiTheme="minorHAnsi"/>
          <w:sz w:val="22"/>
        </w:rPr>
        <w:t xml:space="preserve">were filed, and on August 9, 2024, the petitions were consolidated into one case in the </w:t>
      </w:r>
      <w:r w:rsidR="58F3E32A" w:rsidRPr="009E076E">
        <w:rPr>
          <w:rFonts w:asciiTheme="minorHAnsi" w:eastAsiaTheme="minorEastAsia" w:hAnsiTheme="minorHAnsi"/>
          <w:sz w:val="22"/>
        </w:rPr>
        <w:t xml:space="preserve">U.S. Court of Appeals for the </w:t>
      </w:r>
      <w:r w:rsidRPr="009E076E">
        <w:rPr>
          <w:rFonts w:asciiTheme="minorHAnsi" w:eastAsiaTheme="minorEastAsia" w:hAnsiTheme="minorHAnsi"/>
          <w:sz w:val="22"/>
        </w:rPr>
        <w:t>D.C. Circuit. Petitioners include industry trade associations</w:t>
      </w:r>
      <w:r w:rsidR="2E9B3AEC" w:rsidRPr="009E076E">
        <w:rPr>
          <w:rFonts w:asciiTheme="minorHAnsi" w:eastAsiaTheme="minorEastAsia" w:hAnsiTheme="minorHAnsi"/>
          <w:sz w:val="22"/>
        </w:rPr>
        <w:t xml:space="preserve"> (including USWAG)</w:t>
      </w:r>
      <w:r w:rsidRPr="009E076E">
        <w:rPr>
          <w:rFonts w:asciiTheme="minorHAnsi" w:eastAsiaTheme="minorEastAsia" w:hAnsiTheme="minorHAnsi"/>
          <w:sz w:val="22"/>
        </w:rPr>
        <w:t>, a coalition of states, and electric generators. On August 19, 2024, Petitioner East Kentucky Power Cooperative (</w:t>
      </w:r>
      <w:r w:rsidR="00285615">
        <w:rPr>
          <w:rFonts w:asciiTheme="minorHAnsi" w:eastAsiaTheme="minorEastAsia" w:hAnsiTheme="minorHAnsi"/>
          <w:sz w:val="22"/>
        </w:rPr>
        <w:t>“</w:t>
      </w:r>
      <w:r w:rsidRPr="009E076E">
        <w:rPr>
          <w:rFonts w:asciiTheme="minorHAnsi" w:eastAsiaTheme="minorEastAsia" w:hAnsiTheme="minorHAnsi"/>
          <w:sz w:val="22"/>
        </w:rPr>
        <w:t>EKPC</w:t>
      </w:r>
      <w:r w:rsidR="00285615">
        <w:rPr>
          <w:rFonts w:asciiTheme="minorHAnsi" w:eastAsiaTheme="minorEastAsia" w:hAnsiTheme="minorHAnsi"/>
          <w:sz w:val="22"/>
        </w:rPr>
        <w:t>”</w:t>
      </w:r>
      <w:r w:rsidRPr="009E076E">
        <w:rPr>
          <w:rFonts w:asciiTheme="minorHAnsi" w:eastAsiaTheme="minorEastAsia" w:hAnsiTheme="minorHAnsi"/>
          <w:sz w:val="22"/>
        </w:rPr>
        <w:t xml:space="preserve">) filed a motion seeking to stay the CCR </w:t>
      </w:r>
      <w:r w:rsidR="00A0190A">
        <w:rPr>
          <w:rFonts w:asciiTheme="minorHAnsi" w:eastAsiaTheme="minorEastAsia" w:hAnsiTheme="minorHAnsi"/>
          <w:sz w:val="22"/>
        </w:rPr>
        <w:t>Legacy</w:t>
      </w:r>
      <w:r w:rsidRPr="009E076E">
        <w:rPr>
          <w:rFonts w:asciiTheme="minorHAnsi" w:eastAsiaTheme="minorEastAsia" w:hAnsiTheme="minorHAnsi"/>
          <w:sz w:val="22"/>
        </w:rPr>
        <w:t xml:space="preserve"> </w:t>
      </w:r>
      <w:r w:rsidR="00A0190A">
        <w:rPr>
          <w:rFonts w:asciiTheme="minorHAnsi" w:eastAsiaTheme="minorEastAsia" w:hAnsiTheme="minorHAnsi"/>
          <w:sz w:val="22"/>
        </w:rPr>
        <w:t>R</w:t>
      </w:r>
      <w:r w:rsidRPr="009E076E">
        <w:rPr>
          <w:rFonts w:asciiTheme="minorHAnsi" w:eastAsiaTheme="minorEastAsia" w:hAnsiTheme="minorHAnsi"/>
          <w:sz w:val="22"/>
        </w:rPr>
        <w:t xml:space="preserve">ule pending judicial review. </w:t>
      </w:r>
      <w:r w:rsidR="003E5FF4" w:rsidRPr="009E076E">
        <w:rPr>
          <w:rFonts w:asciiTheme="minorHAnsi" w:eastAsiaTheme="minorEastAsia" w:hAnsiTheme="minorHAnsi"/>
          <w:sz w:val="22"/>
        </w:rPr>
        <w:t>On November 1,</w:t>
      </w:r>
      <w:r w:rsidR="006D64DC" w:rsidRPr="009E076E">
        <w:rPr>
          <w:rFonts w:asciiTheme="minorHAnsi" w:eastAsiaTheme="minorEastAsia" w:hAnsiTheme="minorHAnsi"/>
          <w:sz w:val="22"/>
        </w:rPr>
        <w:t xml:space="preserve"> 2024</w:t>
      </w:r>
      <w:r w:rsidR="00BD765D">
        <w:rPr>
          <w:rFonts w:asciiTheme="minorHAnsi" w:eastAsiaTheme="minorEastAsia" w:hAnsiTheme="minorHAnsi"/>
          <w:sz w:val="22"/>
        </w:rPr>
        <w:t>,</w:t>
      </w:r>
      <w:r w:rsidR="003E5FF4" w:rsidRPr="009E076E">
        <w:rPr>
          <w:rFonts w:asciiTheme="minorHAnsi" w:eastAsiaTheme="minorEastAsia" w:hAnsiTheme="minorHAnsi"/>
          <w:sz w:val="22"/>
        </w:rPr>
        <w:t xml:space="preserve"> </w:t>
      </w:r>
      <w:r w:rsidRPr="009E076E">
        <w:rPr>
          <w:rFonts w:asciiTheme="minorHAnsi" w:eastAsiaTheme="minorEastAsia" w:hAnsiTheme="minorHAnsi"/>
          <w:sz w:val="22"/>
        </w:rPr>
        <w:t xml:space="preserve">the D.C. Circuit </w:t>
      </w:r>
      <w:r w:rsidR="003E5FF4" w:rsidRPr="009E076E">
        <w:rPr>
          <w:rFonts w:asciiTheme="minorHAnsi" w:eastAsiaTheme="minorEastAsia" w:hAnsiTheme="minorHAnsi"/>
          <w:sz w:val="22"/>
        </w:rPr>
        <w:t xml:space="preserve">denied </w:t>
      </w:r>
      <w:r w:rsidRPr="009E076E">
        <w:rPr>
          <w:rFonts w:asciiTheme="minorHAnsi" w:eastAsiaTheme="minorEastAsia" w:hAnsiTheme="minorHAnsi"/>
          <w:sz w:val="22"/>
        </w:rPr>
        <w:t>the stay motion</w:t>
      </w:r>
      <w:r w:rsidR="003E5FF4" w:rsidRPr="009E076E">
        <w:rPr>
          <w:rFonts w:asciiTheme="minorHAnsi" w:eastAsiaTheme="minorEastAsia" w:hAnsiTheme="minorHAnsi"/>
          <w:sz w:val="22"/>
        </w:rPr>
        <w:t>.</w:t>
      </w:r>
      <w:r w:rsidRPr="009E076E">
        <w:rPr>
          <w:rFonts w:asciiTheme="minorHAnsi" w:eastAsiaTheme="minorEastAsia" w:hAnsiTheme="minorHAnsi"/>
          <w:sz w:val="22"/>
        </w:rPr>
        <w:t xml:space="preserve"> </w:t>
      </w:r>
      <w:r w:rsidR="45256E82" w:rsidRPr="6921CA95">
        <w:rPr>
          <w:rFonts w:asciiTheme="minorHAnsi" w:eastAsiaTheme="minorEastAsia" w:hAnsiTheme="minorHAnsi"/>
          <w:sz w:val="22"/>
        </w:rPr>
        <w:t>M</w:t>
      </w:r>
      <w:r w:rsidR="115F03E8" w:rsidRPr="6921CA95">
        <w:rPr>
          <w:rFonts w:asciiTheme="minorHAnsi" w:eastAsiaTheme="minorEastAsia" w:hAnsiTheme="minorHAnsi"/>
          <w:sz w:val="22"/>
        </w:rPr>
        <w:t xml:space="preserve">erits briefing </w:t>
      </w:r>
      <w:r w:rsidR="752F5073" w:rsidRPr="6921CA95">
        <w:rPr>
          <w:rFonts w:asciiTheme="minorHAnsi" w:eastAsiaTheme="minorEastAsia" w:hAnsiTheme="minorHAnsi"/>
          <w:sz w:val="22"/>
        </w:rPr>
        <w:t>will begin on January 31, 2025, and conclude in June 2025 with</w:t>
      </w:r>
      <w:r w:rsidR="115F03E8" w:rsidRPr="009E076E">
        <w:rPr>
          <w:rFonts w:asciiTheme="minorHAnsi" w:eastAsiaTheme="minorEastAsia" w:hAnsiTheme="minorHAnsi"/>
          <w:sz w:val="22"/>
        </w:rPr>
        <w:t xml:space="preserve"> oral argument</w:t>
      </w:r>
      <w:r w:rsidR="00A0190A">
        <w:rPr>
          <w:rFonts w:asciiTheme="minorHAnsi" w:eastAsiaTheme="minorEastAsia" w:hAnsiTheme="minorHAnsi"/>
          <w:sz w:val="22"/>
        </w:rPr>
        <w:t xml:space="preserve"> </w:t>
      </w:r>
      <w:r w:rsidR="21320556" w:rsidRPr="6921CA95">
        <w:rPr>
          <w:rFonts w:asciiTheme="minorHAnsi" w:eastAsiaTheme="minorEastAsia" w:hAnsiTheme="minorHAnsi"/>
          <w:sz w:val="22"/>
        </w:rPr>
        <w:t xml:space="preserve">to </w:t>
      </w:r>
      <w:r w:rsidR="21320556" w:rsidRPr="1C6600C5">
        <w:rPr>
          <w:rFonts w:asciiTheme="minorHAnsi" w:eastAsiaTheme="minorEastAsia" w:hAnsiTheme="minorHAnsi"/>
          <w:sz w:val="22"/>
        </w:rPr>
        <w:t>follow</w:t>
      </w:r>
      <w:r w:rsidR="115F03E8" w:rsidRPr="1C6600C5">
        <w:rPr>
          <w:rFonts w:asciiTheme="minorHAnsi" w:eastAsiaTheme="minorEastAsia" w:hAnsiTheme="minorHAnsi"/>
          <w:sz w:val="22"/>
        </w:rPr>
        <w:t>.</w:t>
      </w:r>
    </w:p>
    <w:p w14:paraId="70B076D6" w14:textId="29EA5A2E" w:rsidR="008947AB" w:rsidRPr="00BD765D" w:rsidRDefault="008947AB" w:rsidP="009A4A30">
      <w:pPr>
        <w:pStyle w:val="ListParagraph"/>
        <w:numPr>
          <w:ilvl w:val="0"/>
          <w:numId w:val="3"/>
        </w:numPr>
        <w:spacing w:after="0" w:line="259" w:lineRule="auto"/>
        <w:rPr>
          <w:rFonts w:asciiTheme="minorHAnsi" w:eastAsiaTheme="minorEastAsia" w:hAnsiTheme="minorHAnsi"/>
          <w:sz w:val="22"/>
        </w:rPr>
      </w:pPr>
      <w:r w:rsidRPr="00BD765D">
        <w:rPr>
          <w:rFonts w:asciiTheme="minorHAnsi" w:eastAsiaTheme="minorEastAsia" w:hAnsiTheme="minorHAnsi"/>
          <w:sz w:val="22"/>
        </w:rPr>
        <w:t>EKPC filed emergency stay application with the U.S. Supreme Court</w:t>
      </w:r>
      <w:r w:rsidR="004D263F" w:rsidRPr="00BD765D">
        <w:rPr>
          <w:rFonts w:asciiTheme="minorHAnsi" w:eastAsiaTheme="minorEastAsia" w:hAnsiTheme="minorHAnsi"/>
          <w:sz w:val="22"/>
        </w:rPr>
        <w:t xml:space="preserve"> which was denied by the court</w:t>
      </w:r>
      <w:r w:rsidR="78E36BA4" w:rsidRPr="1C6600C5">
        <w:rPr>
          <w:rFonts w:asciiTheme="minorHAnsi" w:eastAsiaTheme="minorEastAsia" w:hAnsiTheme="minorHAnsi"/>
          <w:sz w:val="22"/>
        </w:rPr>
        <w:t xml:space="preserve"> on December 11, 2024</w:t>
      </w:r>
      <w:r w:rsidR="009A5976" w:rsidRPr="00BD765D">
        <w:rPr>
          <w:rFonts w:asciiTheme="minorHAnsi" w:eastAsiaTheme="minorEastAsia" w:hAnsiTheme="minorHAnsi"/>
          <w:sz w:val="22"/>
        </w:rPr>
        <w:t>.</w:t>
      </w:r>
    </w:p>
    <w:p w14:paraId="66A86EC4" w14:textId="4EB1DA74" w:rsidR="003A4300" w:rsidRDefault="006B0C41" w:rsidP="009A4A30">
      <w:pPr>
        <w:pStyle w:val="ListParagraph"/>
        <w:numPr>
          <w:ilvl w:val="0"/>
          <w:numId w:val="3"/>
        </w:numPr>
        <w:spacing w:after="0" w:line="259" w:lineRule="auto"/>
        <w:rPr>
          <w:rFonts w:asciiTheme="minorHAnsi" w:eastAsiaTheme="minorEastAsia" w:hAnsiTheme="minorHAnsi"/>
          <w:sz w:val="22"/>
        </w:rPr>
      </w:pPr>
      <w:r>
        <w:rPr>
          <w:rFonts w:asciiTheme="minorHAnsi" w:eastAsiaTheme="minorEastAsia" w:hAnsiTheme="minorHAnsi"/>
          <w:sz w:val="22"/>
        </w:rPr>
        <w:t xml:space="preserve">On June 28, 2024, the U.S. Court of Appeals for the D.C. Circuit rendered a </w:t>
      </w:r>
      <w:proofErr w:type="gramStart"/>
      <w:r>
        <w:rPr>
          <w:rFonts w:asciiTheme="minorHAnsi" w:eastAsiaTheme="minorEastAsia" w:hAnsiTheme="minorHAnsi"/>
          <w:sz w:val="22"/>
        </w:rPr>
        <w:t>decision dismissing industry challenges</w:t>
      </w:r>
      <w:proofErr w:type="gramEnd"/>
      <w:r>
        <w:rPr>
          <w:rFonts w:asciiTheme="minorHAnsi" w:eastAsiaTheme="minorEastAsia" w:hAnsiTheme="minorHAnsi"/>
          <w:sz w:val="22"/>
        </w:rPr>
        <w:t xml:space="preserve"> to the EPA's actions and interpretations dated January 11, 2022, concerning the closure performance standards outlined in the 2015 CCR </w:t>
      </w:r>
      <w:r w:rsidR="00303CC4">
        <w:rPr>
          <w:rFonts w:asciiTheme="minorHAnsi" w:eastAsiaTheme="minorEastAsia" w:hAnsiTheme="minorHAnsi"/>
          <w:sz w:val="22"/>
        </w:rPr>
        <w:t>Rule</w:t>
      </w:r>
      <w:r>
        <w:rPr>
          <w:rFonts w:asciiTheme="minorHAnsi" w:eastAsiaTheme="minorEastAsia" w:hAnsiTheme="minorHAnsi"/>
          <w:sz w:val="22"/>
        </w:rPr>
        <w:t>.</w:t>
      </w:r>
    </w:p>
    <w:p w14:paraId="2D68AC75" w14:textId="0FCE921B" w:rsidR="008C7363" w:rsidRPr="00893E13" w:rsidRDefault="008C7363" w:rsidP="009A4A30">
      <w:pPr>
        <w:pStyle w:val="ListParagraph"/>
        <w:numPr>
          <w:ilvl w:val="0"/>
          <w:numId w:val="3"/>
        </w:numPr>
        <w:spacing w:line="259" w:lineRule="auto"/>
        <w:rPr>
          <w:rFonts w:asciiTheme="minorHAnsi" w:eastAsiaTheme="minorEastAsia" w:hAnsiTheme="minorHAnsi" w:cstheme="minorHAnsi"/>
          <w:color w:val="000000" w:themeColor="text1"/>
          <w:sz w:val="22"/>
        </w:rPr>
      </w:pPr>
      <w:r>
        <w:rPr>
          <w:rFonts w:asciiTheme="minorHAnsi" w:eastAsiaTheme="minorEastAsia" w:hAnsiTheme="minorHAnsi" w:cstheme="minorHAnsi"/>
          <w:color w:val="000000" w:themeColor="text1"/>
          <w:sz w:val="22"/>
        </w:rPr>
        <w:t xml:space="preserve">On Friday, November 8, </w:t>
      </w:r>
      <w:r w:rsidR="00303CC4">
        <w:rPr>
          <w:rFonts w:asciiTheme="minorHAnsi" w:eastAsiaTheme="minorEastAsia" w:hAnsiTheme="minorHAnsi" w:cstheme="minorHAnsi"/>
          <w:color w:val="000000" w:themeColor="text1"/>
          <w:sz w:val="22"/>
        </w:rPr>
        <w:t>2024</w:t>
      </w:r>
      <w:r w:rsidR="00041341">
        <w:rPr>
          <w:rFonts w:asciiTheme="minorHAnsi" w:eastAsiaTheme="minorEastAsia" w:hAnsiTheme="minorHAnsi" w:cstheme="minorHAnsi"/>
          <w:color w:val="000000" w:themeColor="text1"/>
          <w:sz w:val="22"/>
        </w:rPr>
        <w:t>,</w:t>
      </w:r>
      <w:r>
        <w:rPr>
          <w:rFonts w:asciiTheme="minorHAnsi" w:eastAsiaTheme="minorEastAsia" w:hAnsiTheme="minorHAnsi" w:cstheme="minorHAnsi"/>
          <w:color w:val="000000" w:themeColor="text1"/>
          <w:sz w:val="22"/>
        </w:rPr>
        <w:t xml:space="preserve"> the EPA published the Technical Corrections Rule for the Legacy Surface Impoundments Rule, addressing errors in the regulatory text. </w:t>
      </w:r>
    </w:p>
    <w:p w14:paraId="20C661B6" w14:textId="39CC5DFE" w:rsidR="005E0497" w:rsidRPr="004E32D7" w:rsidRDefault="005E0497" w:rsidP="003A3D11">
      <w:pPr>
        <w:pStyle w:val="Smallheading3notoc"/>
      </w:pPr>
      <w:bookmarkStart w:id="39" w:name="_Toc130201004"/>
      <w:r w:rsidRPr="004E32D7">
        <w:lastRenderedPageBreak/>
        <w:t>State Coal Combustion Residuals Rule (</w:t>
      </w:r>
      <w:r w:rsidR="002241F2" w:rsidRPr="004E32D7">
        <w:t>391-3-4-.10)</w:t>
      </w:r>
      <w:bookmarkEnd w:id="39"/>
      <w:r w:rsidR="00AD23E9" w:rsidRPr="004E32D7">
        <w:t xml:space="preserve"> (</w:t>
      </w:r>
      <w:r w:rsidR="00C66553" w:rsidRPr="004E32D7">
        <w:rPr>
          <w:rFonts w:hint="cs"/>
        </w:rPr>
        <w:t>“</w:t>
      </w:r>
      <w:r w:rsidR="00C66553" w:rsidRPr="004E32D7">
        <w:t>Georgia CCR Rule</w:t>
      </w:r>
      <w:r w:rsidR="00C66553" w:rsidRPr="004E32D7">
        <w:rPr>
          <w:rFonts w:hint="cs"/>
        </w:rPr>
        <w:t>”</w:t>
      </w:r>
      <w:r w:rsidR="00C66553" w:rsidRPr="004E32D7">
        <w:t>)</w:t>
      </w:r>
    </w:p>
    <w:p w14:paraId="03F88A14" w14:textId="66F34981" w:rsidR="00C37B28" w:rsidRPr="009621AE" w:rsidRDefault="00407E96" w:rsidP="009A4A30">
      <w:pPr>
        <w:rPr>
          <w:rFonts w:eastAsia="Calibri" w:cs="Arial"/>
          <w:color w:val="000000" w:themeColor="text1"/>
        </w:rPr>
      </w:pPr>
      <w:r>
        <w:t>I</w:t>
      </w:r>
      <w:r w:rsidR="00C37B28" w:rsidRPr="664ED54E">
        <w:t xml:space="preserve">n October 2016, the Georgia Department of Natural Resources </w:t>
      </w:r>
      <w:r w:rsidR="00C37B28">
        <w:t>(“DNR”)</w:t>
      </w:r>
      <w:r w:rsidR="00C37B28" w:rsidRPr="664ED54E">
        <w:t xml:space="preserve"> Board adopted amendments to Georgia’s Rules for Solid Waste Management pertaining to the storage and disposal of CCR. </w:t>
      </w:r>
      <w:r w:rsidR="00577D3C">
        <w:t>At the time, t</w:t>
      </w:r>
      <w:r w:rsidR="00C37B28" w:rsidRPr="664ED54E">
        <w:t>he Georgia CCR Rule acted in addition to</w:t>
      </w:r>
      <w:r w:rsidR="002E2BB9">
        <w:t>, rather than a replacement of,</w:t>
      </w:r>
      <w:r w:rsidR="00C37B28" w:rsidRPr="664ED54E">
        <w:t xml:space="preserve"> the Federal CCR Rule. </w:t>
      </w:r>
      <w:r w:rsidR="001B2B0B">
        <w:t>Under the state’s authority, the</w:t>
      </w:r>
      <w:r w:rsidR="00B002AB">
        <w:t xml:space="preserve"> Georgia </w:t>
      </w:r>
      <w:r w:rsidR="00C37B28" w:rsidRPr="664ED54E">
        <w:t>CCR Rule</w:t>
      </w:r>
      <w:r w:rsidR="00B002AB">
        <w:t xml:space="preserve"> regulated</w:t>
      </w:r>
      <w:r w:rsidR="00C37B28">
        <w:t xml:space="preserve"> all CCR ash ponds</w:t>
      </w:r>
      <w:r w:rsidR="00095217">
        <w:t xml:space="preserve"> and </w:t>
      </w:r>
      <w:r w:rsidR="00B002AB">
        <w:t>landfills,</w:t>
      </w:r>
      <w:r w:rsidR="0093619B">
        <w:t xml:space="preserve"> regardless of operational status,</w:t>
      </w:r>
      <w:r w:rsidR="00B002AB">
        <w:t xml:space="preserve"> making it more stringent than the federal rule at the time.</w:t>
      </w:r>
      <w:r w:rsidR="007C14B7">
        <w:t xml:space="preserve"> </w:t>
      </w:r>
      <w:r w:rsidR="000C2090">
        <w:t>The Georgia CCR Rule</w:t>
      </w:r>
      <w:r w:rsidR="002A0870">
        <w:t xml:space="preserve"> </w:t>
      </w:r>
      <w:r w:rsidR="000C2090">
        <w:t>requires</w:t>
      </w:r>
      <w:r w:rsidR="00FC45F6">
        <w:t xml:space="preserve"> </w:t>
      </w:r>
      <w:r w:rsidR="00E25368">
        <w:t>site</w:t>
      </w:r>
      <w:r w:rsidR="000C2090">
        <w:t>-</w:t>
      </w:r>
      <w:r w:rsidR="00E25368">
        <w:t>specific permits</w:t>
      </w:r>
      <w:r w:rsidR="00B91F1D">
        <w:t xml:space="preserve"> detail</w:t>
      </w:r>
      <w:r w:rsidR="00765D4B">
        <w:t xml:space="preserve">ing </w:t>
      </w:r>
      <w:r w:rsidR="00047973">
        <w:t xml:space="preserve">design, operations, closure, groundwater monitoring, inspections, </w:t>
      </w:r>
      <w:r w:rsidR="00A63953">
        <w:t xml:space="preserve">and </w:t>
      </w:r>
      <w:r w:rsidR="00047973">
        <w:t>post closure care</w:t>
      </w:r>
      <w:r w:rsidR="004366CA">
        <w:t xml:space="preserve"> </w:t>
      </w:r>
      <w:r w:rsidR="00FC45F6">
        <w:t xml:space="preserve">with oversight and enforcement by </w:t>
      </w:r>
      <w:r w:rsidR="007B1A50">
        <w:t xml:space="preserve">Georgia </w:t>
      </w:r>
      <w:r w:rsidR="00FC45F6">
        <w:t>EPD.</w:t>
      </w:r>
      <w:r w:rsidR="00C37B28" w:rsidRPr="002E2BB9">
        <w:rPr>
          <w:rFonts w:cstheme="minorHAnsi"/>
          <w:color w:val="000000" w:themeColor="text1"/>
          <w:szCs w:val="20"/>
        </w:rPr>
        <w:t xml:space="preserve"> </w:t>
      </w:r>
      <w:r w:rsidR="00C37B28" w:rsidRPr="00095217">
        <w:rPr>
          <w:rFonts w:cstheme="minorHAnsi"/>
          <w:color w:val="000000" w:themeColor="text1"/>
          <w:szCs w:val="20"/>
        </w:rPr>
        <w:t>All existing CCR units, including ash ponds and landfills previously closed, were required to submit a CCR permit application to Georgia EPD by November 22, 2018</w:t>
      </w:r>
      <w:r w:rsidR="001D149F">
        <w:rPr>
          <w:rFonts w:cstheme="minorHAnsi"/>
          <w:color w:val="000000" w:themeColor="text1"/>
          <w:szCs w:val="20"/>
        </w:rPr>
        <w:t>.</w:t>
      </w:r>
      <w:r w:rsidR="00F1749D">
        <w:rPr>
          <w:rFonts w:cstheme="minorHAnsi"/>
          <w:color w:val="000000" w:themeColor="text1"/>
          <w:szCs w:val="20"/>
        </w:rPr>
        <w:t xml:space="preserve"> </w:t>
      </w:r>
      <w:r w:rsidR="00C37B28" w:rsidRPr="002448AA">
        <w:rPr>
          <w:rFonts w:cstheme="minorHAnsi"/>
          <w:color w:val="000000" w:themeColor="text1"/>
          <w:szCs w:val="20"/>
        </w:rPr>
        <w:t>The permitting process include</w:t>
      </w:r>
      <w:r w:rsidR="00F1749D">
        <w:rPr>
          <w:rFonts w:cstheme="minorHAnsi"/>
          <w:color w:val="000000" w:themeColor="text1"/>
          <w:szCs w:val="20"/>
        </w:rPr>
        <w:t>s</w:t>
      </w:r>
      <w:r w:rsidR="00C37B28" w:rsidRPr="002448AA">
        <w:rPr>
          <w:rFonts w:cstheme="minorHAnsi"/>
          <w:color w:val="000000" w:themeColor="text1"/>
          <w:szCs w:val="20"/>
        </w:rPr>
        <w:t xml:space="preserve"> review of the Company’s plans, engineering design, public notice, and public comment. </w:t>
      </w:r>
      <w:r w:rsidR="00C671FF" w:rsidRPr="71A0127D">
        <w:rPr>
          <w:rFonts w:eastAsia="Calibri" w:cs="Arial"/>
          <w:color w:val="000000" w:themeColor="text1"/>
        </w:rPr>
        <w:t xml:space="preserve">Georgia </w:t>
      </w:r>
      <w:r w:rsidR="00C671FF">
        <w:rPr>
          <w:rFonts w:eastAsia="Calibri" w:cs="Arial"/>
          <w:color w:val="000000" w:themeColor="text1"/>
        </w:rPr>
        <w:t xml:space="preserve">EPD updated the </w:t>
      </w:r>
      <w:r w:rsidR="009621AE">
        <w:rPr>
          <w:rFonts w:eastAsia="Calibri" w:cs="Arial"/>
          <w:color w:val="000000" w:themeColor="text1"/>
        </w:rPr>
        <w:t>state</w:t>
      </w:r>
      <w:r w:rsidR="00C671FF">
        <w:rPr>
          <w:rFonts w:eastAsia="Calibri" w:cs="Arial"/>
          <w:color w:val="000000" w:themeColor="text1"/>
        </w:rPr>
        <w:t xml:space="preserve"> CCR Rule in March 2018 and again in February 2022 to align with relevant Federal CCR Rule revisions</w:t>
      </w:r>
      <w:r w:rsidR="00C671FF" w:rsidRPr="00331785">
        <w:rPr>
          <w:rFonts w:eastAsia="Calibri" w:cs="Arial"/>
          <w:color w:val="000000" w:themeColor="text1"/>
        </w:rPr>
        <w:t>.</w:t>
      </w:r>
    </w:p>
    <w:p w14:paraId="286C37A0" w14:textId="467BB77E" w:rsidR="00AD3FE2" w:rsidRPr="004E32D7" w:rsidRDefault="00AD3FE2" w:rsidP="003A3D11">
      <w:pPr>
        <w:pStyle w:val="Smallheading3notoc"/>
      </w:pPr>
      <w:bookmarkStart w:id="40" w:name="_Toc130201005"/>
      <w:r w:rsidRPr="004E32D7">
        <w:t>Water Infrastructure Improvements for the Nation Act</w:t>
      </w:r>
      <w:r w:rsidR="00182008" w:rsidRPr="004E32D7">
        <w:t xml:space="preserve"> (</w:t>
      </w:r>
      <w:r w:rsidR="007C14E5" w:rsidRPr="004E32D7">
        <w:t xml:space="preserve">WIIN Act, </w:t>
      </w:r>
      <w:r w:rsidR="00182008" w:rsidRPr="004E32D7">
        <w:t>Section 2301)</w:t>
      </w:r>
      <w:bookmarkEnd w:id="40"/>
    </w:p>
    <w:p w14:paraId="4C372FFC" w14:textId="73849917" w:rsidR="00FA3CCB" w:rsidRPr="00DB7156" w:rsidRDefault="00FA3CCB" w:rsidP="009A4A30">
      <w:r w:rsidRPr="00DB7156">
        <w:t xml:space="preserve">In December 2016, the </w:t>
      </w:r>
      <w:r w:rsidR="00145EC4" w:rsidRPr="00145EC4">
        <w:t xml:space="preserve">Water Infrastructure Improvements for the Nation Act </w:t>
      </w:r>
      <w:r w:rsidR="00145EC4">
        <w:t>(“</w:t>
      </w:r>
      <w:r w:rsidRPr="00DB7156">
        <w:t>WIIN</w:t>
      </w:r>
      <w:r w:rsidR="00296465">
        <w:t xml:space="preserve"> Act</w:t>
      </w:r>
      <w:r w:rsidR="00145EC4">
        <w:t>”)</w:t>
      </w:r>
      <w:r w:rsidRPr="00DB7156">
        <w:t xml:space="preserve"> was approved</w:t>
      </w:r>
      <w:r>
        <w:t xml:space="preserve"> by the U.S. Congress</w:t>
      </w:r>
      <w:r w:rsidR="00F278DC">
        <w:t xml:space="preserve">, including a section that amends a portion of </w:t>
      </w:r>
      <w:r w:rsidR="00362928" w:rsidRPr="00362928">
        <w:t xml:space="preserve">RCRA to </w:t>
      </w:r>
      <w:r w:rsidR="009C1555">
        <w:t xml:space="preserve">allow states to submit their </w:t>
      </w:r>
      <w:r w:rsidR="00362928" w:rsidRPr="00362928">
        <w:t>CCR permit programs</w:t>
      </w:r>
      <w:r w:rsidR="009C1555">
        <w:t xml:space="preserve"> for EPA approval</w:t>
      </w:r>
      <w:r w:rsidR="00307551">
        <w:t xml:space="preserve"> and </w:t>
      </w:r>
      <w:r w:rsidR="00BD22A7">
        <w:t xml:space="preserve">subsequent </w:t>
      </w:r>
      <w:r w:rsidR="00307551">
        <w:t>periodic review</w:t>
      </w:r>
      <w:r w:rsidR="00E504B1">
        <w:t xml:space="preserve"> based on various defined triggers</w:t>
      </w:r>
      <w:r w:rsidRPr="00DB7156">
        <w:t>. An EPA-approved state permit program provides more regulatory certainty and reduces the burden of overlapping regulations</w:t>
      </w:r>
      <w:r w:rsidRPr="664ED54E">
        <w:t xml:space="preserve"> </w:t>
      </w:r>
      <w:r w:rsidR="009D7B95">
        <w:t>since it would authorize states to enforce state regulations for CCR units and operate a permitting program in lieu of the federal rule</w:t>
      </w:r>
      <w:r w:rsidRPr="664ED54E">
        <w:t>.</w:t>
      </w:r>
      <w:r w:rsidRPr="00DB7156">
        <w:t xml:space="preserve"> In March 2017, Georgia EPD submitted Georgia’s CCR Rule for EPA’s review</w:t>
      </w:r>
      <w:r>
        <w:t xml:space="preserve"> and </w:t>
      </w:r>
      <w:r w:rsidRPr="664ED54E">
        <w:t xml:space="preserve">approval as a “partial” permit program, meaning that </w:t>
      </w:r>
      <w:r w:rsidR="007B1A50">
        <w:t xml:space="preserve">Georgia </w:t>
      </w:r>
      <w:r w:rsidRPr="664ED54E">
        <w:t xml:space="preserve">EPD did not seek approval of certain </w:t>
      </w:r>
      <w:r>
        <w:t>elements</w:t>
      </w:r>
      <w:r w:rsidRPr="664ED54E">
        <w:t xml:space="preserve"> of the Federal CCR Rule.</w:t>
      </w:r>
      <w:r w:rsidR="007C14B7">
        <w:t xml:space="preserve"> </w:t>
      </w:r>
    </w:p>
    <w:p w14:paraId="7C38A4EB" w14:textId="00224508" w:rsidR="00FA3CCB" w:rsidRPr="00DB7156" w:rsidRDefault="00FA3CCB" w:rsidP="009A4A30">
      <w:r>
        <w:t xml:space="preserve">In June 2019, Georgia received notice from EPA that their application was complete, officially initiating the 180-day review and approval process. In January 2020, EPA </w:t>
      </w:r>
      <w:r w:rsidR="00FD20AC">
        <w:t>finalized a</w:t>
      </w:r>
      <w:r>
        <w:t xml:space="preserve"> partial approval of Georgia’s CCR permit program</w:t>
      </w:r>
      <w:r w:rsidR="005D0D53">
        <w:t xml:space="preserve">, </w:t>
      </w:r>
      <w:r w:rsidR="005D0D53" w:rsidRPr="08F2E814">
        <w:rPr>
          <w:lang w:val="en"/>
        </w:rPr>
        <w:t xml:space="preserve">the second </w:t>
      </w:r>
      <w:r w:rsidR="005D0D53">
        <w:rPr>
          <w:lang w:val="en"/>
        </w:rPr>
        <w:t>of only three</w:t>
      </w:r>
      <w:r w:rsidR="005D0D53" w:rsidRPr="08F2E814">
        <w:rPr>
          <w:lang w:val="en"/>
        </w:rPr>
        <w:t xml:space="preserve"> state approval</w:t>
      </w:r>
      <w:r w:rsidR="005D0D53">
        <w:rPr>
          <w:lang w:val="en"/>
        </w:rPr>
        <w:t>s to-date</w:t>
      </w:r>
      <w:r>
        <w:t xml:space="preserve">. Georgia’s program was partially approved because the Georgia Rules for Solid Waste Management </w:t>
      </w:r>
      <w:r w:rsidR="009306A0">
        <w:t xml:space="preserve">(i.e., </w:t>
      </w:r>
      <w:r w:rsidR="004E30D6">
        <w:t>Georgia CCR Rule)</w:t>
      </w:r>
      <w:r>
        <w:t xml:space="preserve"> did not include provisions to cover the applicability of requirements for endangered species. Georgia</w:t>
      </w:r>
      <w:r w:rsidR="007B1A50">
        <w:t>’</w:t>
      </w:r>
      <w:r>
        <w:t xml:space="preserve">s partial program approval allows the Georgia EPD to enforce rules promulgated under its solid waste statute related to CCR activities, as well as to issue permits and to enforce compliance. </w:t>
      </w:r>
    </w:p>
    <w:p w14:paraId="7C92A058" w14:textId="049E02B0" w:rsidR="00374B82" w:rsidRDefault="00374B82" w:rsidP="009A4A30">
      <w:r>
        <w:t xml:space="preserve">In February 2020, EPA </w:t>
      </w:r>
      <w:r w:rsidR="00E829BF">
        <w:t>issued a proposed rule to establish a</w:t>
      </w:r>
      <w:r>
        <w:t xml:space="preserve"> Federal CCR Permit Program</w:t>
      </w:r>
      <w:r w:rsidR="00D524CE">
        <w:t xml:space="preserve"> for </w:t>
      </w:r>
      <w:r>
        <w:t>states that are not actively pursuing their own state CCR permit program for approval and to cover specific rules sections that are not included in state programs with partial approval.</w:t>
      </w:r>
      <w:r w:rsidR="007C14B7">
        <w:t xml:space="preserve"> </w:t>
      </w:r>
    </w:p>
    <w:p w14:paraId="6322CC99" w14:textId="2B7E8F58" w:rsidR="00C35753" w:rsidRPr="00C35753" w:rsidRDefault="00C35753" w:rsidP="009A4A30">
      <w:pPr>
        <w:rPr>
          <w:rFonts w:cstheme="minorHAnsi"/>
          <w:color w:val="000000" w:themeColor="text1"/>
        </w:rPr>
      </w:pPr>
      <w:r w:rsidRPr="00C35753">
        <w:rPr>
          <w:rFonts w:cstheme="minorHAnsi"/>
          <w:color w:val="000000" w:themeColor="text1"/>
        </w:rPr>
        <w:t xml:space="preserve">The finalization of the </w:t>
      </w:r>
      <w:r w:rsidR="007B1A50">
        <w:rPr>
          <w:rFonts w:cstheme="minorHAnsi"/>
          <w:color w:val="000000" w:themeColor="text1"/>
        </w:rPr>
        <w:t>CCR Legacy Rule</w:t>
      </w:r>
      <w:r w:rsidRPr="00C35753">
        <w:rPr>
          <w:rFonts w:cstheme="minorHAnsi"/>
          <w:color w:val="000000" w:themeColor="text1"/>
        </w:rPr>
        <w:t xml:space="preserve"> </w:t>
      </w:r>
      <w:proofErr w:type="gramStart"/>
      <w:r w:rsidRPr="00C35753">
        <w:rPr>
          <w:rFonts w:cstheme="minorHAnsi"/>
          <w:color w:val="000000" w:themeColor="text1"/>
        </w:rPr>
        <w:t>subjects</w:t>
      </w:r>
      <w:proofErr w:type="gramEnd"/>
      <w:r w:rsidRPr="00C35753">
        <w:rPr>
          <w:rFonts w:cstheme="minorHAnsi"/>
          <w:color w:val="000000" w:themeColor="text1"/>
        </w:rPr>
        <w:t xml:space="preserve"> legacy units to duplicative requirements and oversight by both the state and federal agencies. </w:t>
      </w:r>
      <w:r w:rsidRPr="00C35753">
        <w:rPr>
          <w:rFonts w:cstheme="minorHAnsi"/>
        </w:rPr>
        <w:t xml:space="preserve">RCRA allows a </w:t>
      </w:r>
      <w:r w:rsidR="007B1A50">
        <w:rPr>
          <w:rFonts w:cstheme="minorHAnsi"/>
        </w:rPr>
        <w:t>s</w:t>
      </w:r>
      <w:r w:rsidR="007B1A50" w:rsidRPr="00C35753">
        <w:rPr>
          <w:rFonts w:cstheme="minorHAnsi"/>
        </w:rPr>
        <w:t xml:space="preserve">tate </w:t>
      </w:r>
      <w:r w:rsidRPr="00C35753">
        <w:rPr>
          <w:rFonts w:cstheme="minorHAnsi"/>
        </w:rPr>
        <w:t xml:space="preserve">to update its program within three years of any applicable revision to the Federal CCR Rule </w:t>
      </w:r>
      <w:proofErr w:type="gramStart"/>
      <w:r w:rsidRPr="00C35753">
        <w:rPr>
          <w:rFonts w:cstheme="minorHAnsi"/>
        </w:rPr>
        <w:t>in order to</w:t>
      </w:r>
      <w:proofErr w:type="gramEnd"/>
      <w:r w:rsidRPr="00C35753">
        <w:rPr>
          <w:rFonts w:cstheme="minorHAnsi"/>
        </w:rPr>
        <w:t xml:space="preserve"> maintain approval. </w:t>
      </w:r>
      <w:r w:rsidRPr="00C35753">
        <w:rPr>
          <w:rFonts w:cstheme="minorHAnsi"/>
          <w:color w:val="000000" w:themeColor="text1"/>
        </w:rPr>
        <w:t>Until this approv</w:t>
      </w:r>
      <w:r w:rsidR="00295D6D">
        <w:rPr>
          <w:rFonts w:cstheme="minorHAnsi"/>
          <w:color w:val="000000" w:themeColor="text1"/>
        </w:rPr>
        <w:t>al</w:t>
      </w:r>
      <w:r w:rsidRPr="00C35753">
        <w:rPr>
          <w:rFonts w:cstheme="minorHAnsi"/>
          <w:color w:val="000000" w:themeColor="text1"/>
        </w:rPr>
        <w:t xml:space="preserve">, </w:t>
      </w:r>
      <w:r w:rsidRPr="00C35753">
        <w:rPr>
          <w:rFonts w:cstheme="minorHAnsi"/>
        </w:rPr>
        <w:t xml:space="preserve">the Georgia CCR Rule will continue to operate in lieu of the portions of the </w:t>
      </w:r>
      <w:r w:rsidR="007B1A50">
        <w:rPr>
          <w:rFonts w:cstheme="minorHAnsi"/>
        </w:rPr>
        <w:t>f</w:t>
      </w:r>
      <w:r w:rsidR="007B1A50" w:rsidRPr="00C35753">
        <w:rPr>
          <w:rFonts w:cstheme="minorHAnsi"/>
        </w:rPr>
        <w:t xml:space="preserve">ederal </w:t>
      </w:r>
      <w:r w:rsidRPr="00C35753">
        <w:rPr>
          <w:rFonts w:cstheme="minorHAnsi"/>
        </w:rPr>
        <w:t xml:space="preserve">program adopted by the </w:t>
      </w:r>
      <w:r w:rsidR="007B1A50">
        <w:rPr>
          <w:rFonts w:cstheme="minorHAnsi"/>
        </w:rPr>
        <w:t>s</w:t>
      </w:r>
      <w:r w:rsidR="007B1A50" w:rsidRPr="00C35753">
        <w:rPr>
          <w:rFonts w:cstheme="minorHAnsi"/>
        </w:rPr>
        <w:t xml:space="preserve">tate </w:t>
      </w:r>
      <w:r w:rsidRPr="00C35753">
        <w:rPr>
          <w:rFonts w:cstheme="minorHAnsi"/>
        </w:rPr>
        <w:t xml:space="preserve">in 2020 in addition to the new regulations </w:t>
      </w:r>
      <w:r w:rsidR="007B1A50">
        <w:rPr>
          <w:rFonts w:cstheme="minorHAnsi"/>
        </w:rPr>
        <w:t>that</w:t>
      </w:r>
      <w:r w:rsidR="007B1A50" w:rsidRPr="00C35753">
        <w:rPr>
          <w:rFonts w:cstheme="minorHAnsi"/>
        </w:rPr>
        <w:t xml:space="preserve"> </w:t>
      </w:r>
      <w:r w:rsidRPr="00C35753">
        <w:rPr>
          <w:rFonts w:cstheme="minorHAnsi"/>
        </w:rPr>
        <w:t>are in effect.</w:t>
      </w:r>
    </w:p>
    <w:p w14:paraId="79249921" w14:textId="4F5EAEBD" w:rsidR="00A73B71" w:rsidRPr="003A3D11" w:rsidRDefault="00FD2784" w:rsidP="003A3D11">
      <w:pPr>
        <w:pStyle w:val="Smallheading3notoc"/>
      </w:pPr>
      <w:r w:rsidRPr="003A3D11">
        <w:lastRenderedPageBreak/>
        <w:t>New</w:t>
      </w:r>
      <w:r w:rsidR="00AC7EB4" w:rsidRPr="003A3D11">
        <w:t xml:space="preserve"> Regulatory Updates</w:t>
      </w:r>
    </w:p>
    <w:p w14:paraId="2E9BE57E" w14:textId="4E4E9E8F" w:rsidR="00AC7EB4" w:rsidRPr="00A35111" w:rsidRDefault="00021E07" w:rsidP="009A4A30">
      <w:pPr>
        <w:pStyle w:val="ListParagraph"/>
        <w:numPr>
          <w:ilvl w:val="0"/>
          <w:numId w:val="34"/>
        </w:numPr>
        <w:spacing w:line="259" w:lineRule="auto"/>
        <w:ind w:left="806"/>
        <w:rPr>
          <w:rFonts w:asciiTheme="minorHAnsi" w:eastAsiaTheme="minorEastAsia" w:hAnsiTheme="minorHAnsi"/>
          <w:sz w:val="22"/>
        </w:rPr>
      </w:pPr>
      <w:r w:rsidRPr="72049F6B">
        <w:rPr>
          <w:rFonts w:asciiTheme="minorHAnsi" w:eastAsiaTheme="minorEastAsia" w:hAnsiTheme="minorHAnsi"/>
          <w:sz w:val="22"/>
        </w:rPr>
        <w:t xml:space="preserve">According to the </w:t>
      </w:r>
      <w:r w:rsidR="00C95526" w:rsidRPr="72049F6B">
        <w:rPr>
          <w:rFonts w:asciiTheme="minorHAnsi" w:eastAsiaTheme="minorEastAsia" w:hAnsiTheme="minorHAnsi"/>
          <w:sz w:val="22"/>
        </w:rPr>
        <w:t>2024 Spring Unified A</w:t>
      </w:r>
      <w:r w:rsidR="00424EAD" w:rsidRPr="72049F6B">
        <w:rPr>
          <w:rFonts w:asciiTheme="minorHAnsi" w:eastAsiaTheme="minorEastAsia" w:hAnsiTheme="minorHAnsi"/>
          <w:sz w:val="22"/>
        </w:rPr>
        <w:t xml:space="preserve">genda, </w:t>
      </w:r>
      <w:r w:rsidR="00AC7EB4" w:rsidRPr="72049F6B">
        <w:rPr>
          <w:rFonts w:asciiTheme="minorHAnsi" w:eastAsiaTheme="minorEastAsia" w:hAnsiTheme="minorHAnsi"/>
          <w:sz w:val="22"/>
        </w:rPr>
        <w:t xml:space="preserve">EPA </w:t>
      </w:r>
      <w:r w:rsidR="009F5D0C" w:rsidRPr="72049F6B">
        <w:rPr>
          <w:rFonts w:asciiTheme="minorHAnsi" w:eastAsiaTheme="minorEastAsia" w:hAnsiTheme="minorHAnsi"/>
          <w:sz w:val="22"/>
        </w:rPr>
        <w:t xml:space="preserve">was </w:t>
      </w:r>
      <w:r w:rsidR="00AC7EB4" w:rsidRPr="72049F6B">
        <w:rPr>
          <w:rFonts w:asciiTheme="minorHAnsi" w:eastAsiaTheme="minorEastAsia" w:hAnsiTheme="minorHAnsi"/>
          <w:sz w:val="22"/>
        </w:rPr>
        <w:t>expected to finalize</w:t>
      </w:r>
      <w:r w:rsidR="008229BF" w:rsidRPr="72049F6B">
        <w:rPr>
          <w:rFonts w:asciiTheme="minorHAnsi" w:eastAsiaTheme="minorEastAsia" w:hAnsiTheme="minorHAnsi"/>
          <w:sz w:val="22"/>
        </w:rPr>
        <w:t xml:space="preserve"> the Federal CCR Permit Program</w:t>
      </w:r>
      <w:r w:rsidR="00424EAD" w:rsidRPr="72049F6B">
        <w:rPr>
          <w:rFonts w:asciiTheme="minorHAnsi" w:eastAsiaTheme="minorEastAsia" w:hAnsiTheme="minorHAnsi"/>
          <w:sz w:val="22"/>
        </w:rPr>
        <w:t xml:space="preserve"> in</w:t>
      </w:r>
      <w:r w:rsidR="009F5D0C" w:rsidRPr="72049F6B">
        <w:rPr>
          <w:rFonts w:asciiTheme="minorHAnsi" w:eastAsiaTheme="minorEastAsia" w:hAnsiTheme="minorHAnsi"/>
          <w:sz w:val="22"/>
        </w:rPr>
        <w:t xml:space="preserve"> October 2024.</w:t>
      </w:r>
      <w:r w:rsidR="217EE41B" w:rsidRPr="72049F6B">
        <w:rPr>
          <w:rFonts w:asciiTheme="minorHAnsi" w:eastAsiaTheme="minorEastAsia" w:hAnsiTheme="minorHAnsi"/>
          <w:sz w:val="22"/>
        </w:rPr>
        <w:t xml:space="preserve"> </w:t>
      </w:r>
      <w:r w:rsidR="00032585" w:rsidRPr="72049F6B">
        <w:rPr>
          <w:rFonts w:asciiTheme="minorHAnsi" w:eastAsiaTheme="minorEastAsia" w:hAnsiTheme="minorHAnsi"/>
          <w:sz w:val="22"/>
        </w:rPr>
        <w:t>Because</w:t>
      </w:r>
      <w:r w:rsidR="00526621" w:rsidRPr="72049F6B">
        <w:rPr>
          <w:rFonts w:asciiTheme="minorHAnsi" w:eastAsiaTheme="minorEastAsia" w:hAnsiTheme="minorHAnsi"/>
          <w:sz w:val="22"/>
        </w:rPr>
        <w:t xml:space="preserve"> Georgia EPD </w:t>
      </w:r>
      <w:r w:rsidR="00032585" w:rsidRPr="72049F6B">
        <w:rPr>
          <w:rFonts w:asciiTheme="minorHAnsi" w:eastAsiaTheme="minorEastAsia" w:hAnsiTheme="minorHAnsi"/>
          <w:sz w:val="22"/>
        </w:rPr>
        <w:t xml:space="preserve">did not </w:t>
      </w:r>
      <w:r w:rsidR="00526621" w:rsidRPr="72049F6B">
        <w:rPr>
          <w:rFonts w:asciiTheme="minorHAnsi" w:eastAsiaTheme="minorEastAsia" w:hAnsiTheme="minorHAnsi"/>
          <w:sz w:val="22"/>
        </w:rPr>
        <w:t xml:space="preserve">incorporate the endangered species review requirements </w:t>
      </w:r>
      <w:r w:rsidR="00526621" w:rsidRPr="02CC6B6C">
        <w:rPr>
          <w:rFonts w:asciiTheme="minorHAnsi" w:eastAsiaTheme="minorEastAsia" w:hAnsiTheme="minorHAnsi"/>
          <w:sz w:val="22"/>
        </w:rPr>
        <w:t>i</w:t>
      </w:r>
      <w:r w:rsidR="00526621" w:rsidRPr="72049F6B">
        <w:rPr>
          <w:rFonts w:asciiTheme="minorHAnsi" w:eastAsiaTheme="minorEastAsia" w:hAnsiTheme="minorHAnsi"/>
          <w:sz w:val="22"/>
        </w:rPr>
        <w:t xml:space="preserve">n the </w:t>
      </w:r>
      <w:r w:rsidR="005514CC">
        <w:rPr>
          <w:rFonts w:asciiTheme="minorHAnsi" w:eastAsiaTheme="minorEastAsia" w:hAnsiTheme="minorHAnsi"/>
          <w:sz w:val="22"/>
        </w:rPr>
        <w:t>Georgia</w:t>
      </w:r>
      <w:r w:rsidR="005514CC" w:rsidRPr="72049F6B">
        <w:rPr>
          <w:rFonts w:asciiTheme="minorHAnsi" w:eastAsiaTheme="minorEastAsia" w:hAnsiTheme="minorHAnsi"/>
          <w:sz w:val="22"/>
        </w:rPr>
        <w:t xml:space="preserve"> </w:t>
      </w:r>
      <w:r w:rsidR="00C470E6" w:rsidRPr="72049F6B">
        <w:rPr>
          <w:rFonts w:asciiTheme="minorHAnsi" w:eastAsiaTheme="minorEastAsia" w:hAnsiTheme="minorHAnsi"/>
          <w:sz w:val="22"/>
        </w:rPr>
        <w:t>CCR Rule</w:t>
      </w:r>
      <w:r w:rsidR="00FC0A82">
        <w:rPr>
          <w:rFonts w:asciiTheme="minorHAnsi" w:eastAsiaTheme="minorEastAsia" w:hAnsiTheme="minorHAnsi"/>
          <w:sz w:val="22"/>
        </w:rPr>
        <w:t xml:space="preserve"> and with the issuance of the 2024 CCR Le</w:t>
      </w:r>
      <w:r w:rsidR="00FC0A82" w:rsidRPr="0056517D">
        <w:rPr>
          <w:rFonts w:asciiTheme="minorHAnsi" w:eastAsiaTheme="minorEastAsia" w:hAnsiTheme="minorHAnsi"/>
          <w:sz w:val="22"/>
        </w:rPr>
        <w:t>gacy Rule</w:t>
      </w:r>
      <w:r w:rsidR="00C470E6" w:rsidRPr="0056517D">
        <w:rPr>
          <w:rFonts w:asciiTheme="minorHAnsi" w:eastAsiaTheme="minorEastAsia" w:hAnsiTheme="minorHAnsi"/>
          <w:sz w:val="22"/>
        </w:rPr>
        <w:t xml:space="preserve">, </w:t>
      </w:r>
      <w:r w:rsidR="00E30660" w:rsidRPr="000E0CF6">
        <w:rPr>
          <w:rFonts w:asciiTheme="minorHAnsi" w:eastAsiaTheme="minorEastAsia" w:hAnsiTheme="minorHAnsi"/>
          <w:sz w:val="22"/>
        </w:rPr>
        <w:t>when finalized</w:t>
      </w:r>
      <w:r w:rsidR="007B1A50" w:rsidRPr="000E0CF6">
        <w:rPr>
          <w:rFonts w:asciiTheme="minorHAnsi" w:eastAsiaTheme="minorEastAsia" w:hAnsiTheme="minorHAnsi"/>
          <w:sz w:val="22"/>
        </w:rPr>
        <w:t>,</w:t>
      </w:r>
      <w:r w:rsidR="00E30660" w:rsidRPr="000E0CF6">
        <w:rPr>
          <w:rFonts w:asciiTheme="minorHAnsi" w:eastAsiaTheme="minorEastAsia" w:hAnsiTheme="minorHAnsi"/>
          <w:sz w:val="22"/>
        </w:rPr>
        <w:t xml:space="preserve"> </w:t>
      </w:r>
      <w:r w:rsidR="00C470E6" w:rsidRPr="000E0CF6">
        <w:rPr>
          <w:rFonts w:asciiTheme="minorHAnsi" w:eastAsiaTheme="minorEastAsia" w:hAnsiTheme="minorHAnsi"/>
          <w:sz w:val="22"/>
        </w:rPr>
        <w:t xml:space="preserve">the Federal CCR Permit Program </w:t>
      </w:r>
      <w:r w:rsidR="0013275B" w:rsidRPr="000E0CF6">
        <w:rPr>
          <w:rFonts w:asciiTheme="minorHAnsi" w:eastAsiaTheme="minorEastAsia" w:hAnsiTheme="minorHAnsi"/>
          <w:sz w:val="22"/>
        </w:rPr>
        <w:t xml:space="preserve">may </w:t>
      </w:r>
      <w:r w:rsidR="00C470E6" w:rsidRPr="000E0CF6">
        <w:rPr>
          <w:rFonts w:asciiTheme="minorHAnsi" w:eastAsiaTheme="minorEastAsia" w:hAnsiTheme="minorHAnsi"/>
          <w:sz w:val="22"/>
        </w:rPr>
        <w:t xml:space="preserve">apply in Georgia for </w:t>
      </w:r>
      <w:r w:rsidR="002556AC" w:rsidRPr="000E0CF6">
        <w:rPr>
          <w:rFonts w:asciiTheme="minorHAnsi" w:eastAsiaTheme="minorEastAsia" w:hAnsiTheme="minorHAnsi"/>
          <w:sz w:val="22"/>
        </w:rPr>
        <w:t>th</w:t>
      </w:r>
      <w:r w:rsidR="00AD22D8" w:rsidRPr="000E0CF6">
        <w:rPr>
          <w:rFonts w:asciiTheme="minorHAnsi" w:eastAsiaTheme="minorEastAsia" w:hAnsiTheme="minorHAnsi"/>
          <w:sz w:val="22"/>
        </w:rPr>
        <w:t>ese</w:t>
      </w:r>
      <w:r w:rsidR="002556AC" w:rsidRPr="000E0CF6">
        <w:rPr>
          <w:rFonts w:asciiTheme="minorHAnsi" w:eastAsiaTheme="minorEastAsia" w:hAnsiTheme="minorHAnsi"/>
          <w:sz w:val="22"/>
        </w:rPr>
        <w:t xml:space="preserve"> </w:t>
      </w:r>
      <w:r w:rsidR="00342E75" w:rsidRPr="000E0CF6">
        <w:rPr>
          <w:rFonts w:asciiTheme="minorHAnsi" w:eastAsiaTheme="minorEastAsia" w:hAnsiTheme="minorHAnsi"/>
          <w:sz w:val="22"/>
        </w:rPr>
        <w:t>items</w:t>
      </w:r>
      <w:r w:rsidR="007C3016" w:rsidRPr="000E0CF6">
        <w:rPr>
          <w:rFonts w:asciiTheme="minorHAnsi" w:eastAsiaTheme="minorEastAsia" w:hAnsiTheme="minorHAnsi"/>
          <w:sz w:val="22"/>
        </w:rPr>
        <w:t>.</w:t>
      </w:r>
      <w:r w:rsidR="007C14B7">
        <w:rPr>
          <w:rFonts w:asciiTheme="minorHAnsi" w:eastAsiaTheme="minorEastAsia" w:hAnsiTheme="minorHAnsi"/>
          <w:sz w:val="22"/>
        </w:rPr>
        <w:t xml:space="preserve"> </w:t>
      </w:r>
    </w:p>
    <w:p w14:paraId="7B957357" w14:textId="5F25FAA5" w:rsidR="00257E7C" w:rsidRPr="009B289B" w:rsidRDefault="00FA0842" w:rsidP="009A4A30">
      <w:pPr>
        <w:pStyle w:val="Heading4"/>
      </w:pPr>
      <w:r w:rsidRPr="009B289B">
        <w:t>2.2</w:t>
      </w:r>
      <w:r w:rsidR="00E8724A" w:rsidRPr="009B289B">
        <w:t>.1</w:t>
      </w:r>
      <w:r w:rsidR="0075702B" w:rsidRPr="009B289B">
        <w:t xml:space="preserve">.1 </w:t>
      </w:r>
      <w:r w:rsidR="00E949FD" w:rsidRPr="009B289B">
        <w:t xml:space="preserve">CCR Compliance Strategy </w:t>
      </w:r>
    </w:p>
    <w:p w14:paraId="25A8D3C8" w14:textId="4245CDFC" w:rsidR="00874724" w:rsidRPr="000E0CF6" w:rsidRDefault="000B3A81" w:rsidP="009A4A30">
      <w:r w:rsidRPr="08F2E814">
        <w:rPr>
          <w:lang w:val="en"/>
        </w:rPr>
        <w:t>Georgia Power’s ash pond closure plans and</w:t>
      </w:r>
      <w:r w:rsidR="00D74103">
        <w:rPr>
          <w:lang w:val="en"/>
        </w:rPr>
        <w:t xml:space="preserve"> CCR unit</w:t>
      </w:r>
      <w:r w:rsidRPr="08F2E814">
        <w:rPr>
          <w:lang w:val="en"/>
        </w:rPr>
        <w:t xml:space="preserve"> compliance strategy </w:t>
      </w:r>
      <w:r w:rsidR="00154147" w:rsidRPr="72049F6B">
        <w:rPr>
          <w:lang w:val="en"/>
        </w:rPr>
        <w:t xml:space="preserve">are </w:t>
      </w:r>
      <w:r w:rsidRPr="08F2E814">
        <w:rPr>
          <w:lang w:val="en"/>
        </w:rPr>
        <w:t>designed to comply with</w:t>
      </w:r>
      <w:r w:rsidR="00373D1C">
        <w:rPr>
          <w:lang w:val="en"/>
        </w:rPr>
        <w:t xml:space="preserve"> both</w:t>
      </w:r>
      <w:r w:rsidRPr="08F2E814">
        <w:rPr>
          <w:lang w:val="en"/>
        </w:rPr>
        <w:t xml:space="preserve"> the Federal CCR Rule</w:t>
      </w:r>
      <w:r w:rsidR="00373D1C">
        <w:rPr>
          <w:lang w:val="en"/>
        </w:rPr>
        <w:t xml:space="preserve"> and </w:t>
      </w:r>
      <w:r w:rsidRPr="08F2E814">
        <w:rPr>
          <w:lang w:val="en"/>
        </w:rPr>
        <w:t>the Georgia CCR Rule.</w:t>
      </w:r>
      <w:r w:rsidR="007C14B7">
        <w:rPr>
          <w:lang w:val="en"/>
        </w:rPr>
        <w:t xml:space="preserve"> </w:t>
      </w:r>
      <w:r w:rsidR="001B7CD9">
        <w:rPr>
          <w:color w:val="171717" w:themeColor="background2" w:themeShade="1A"/>
        </w:rPr>
        <w:t xml:space="preserve">The </w:t>
      </w:r>
      <w:r w:rsidR="001B7CD9" w:rsidRPr="0084296F">
        <w:rPr>
          <w:lang w:val="en"/>
        </w:rPr>
        <w:t>Company</w:t>
      </w:r>
      <w:r w:rsidR="001B7CD9">
        <w:rPr>
          <w:lang w:val="en"/>
        </w:rPr>
        <w:t xml:space="preserve"> </w:t>
      </w:r>
      <w:r w:rsidR="001B7CD9" w:rsidRPr="0084296F">
        <w:rPr>
          <w:lang w:val="en"/>
        </w:rPr>
        <w:t>ceas</w:t>
      </w:r>
      <w:r w:rsidR="001B7CD9">
        <w:rPr>
          <w:lang w:val="en"/>
        </w:rPr>
        <w:t>ed</w:t>
      </w:r>
      <w:r w:rsidR="001B7CD9" w:rsidRPr="0084296F">
        <w:rPr>
          <w:lang w:val="en"/>
        </w:rPr>
        <w:t xml:space="preserve"> placement of coal ash in </w:t>
      </w:r>
      <w:r w:rsidR="001B7CD9">
        <w:rPr>
          <w:lang w:val="en"/>
        </w:rPr>
        <w:t xml:space="preserve">all </w:t>
      </w:r>
      <w:r w:rsidR="001B7CD9" w:rsidRPr="0084296F">
        <w:rPr>
          <w:lang w:val="en"/>
        </w:rPr>
        <w:t>ash ponds in 2019</w:t>
      </w:r>
      <w:r w:rsidR="001B7CD9">
        <w:rPr>
          <w:lang w:val="en"/>
        </w:rPr>
        <w:t>, and the CCR units are in various stages of operation, construction, and closure.</w:t>
      </w:r>
      <w:r w:rsidR="001B7CD9" w:rsidDel="00F63A4D">
        <w:rPr>
          <w:lang w:val="en"/>
        </w:rPr>
        <w:t xml:space="preserve"> </w:t>
      </w:r>
      <w:r w:rsidR="0098106C">
        <w:rPr>
          <w:lang w:val="en"/>
        </w:rPr>
        <w:t xml:space="preserve">Under the requirement in </w:t>
      </w:r>
      <w:r w:rsidR="006138D9" w:rsidRPr="00564B9F">
        <w:rPr>
          <w:lang w:val="en"/>
        </w:rPr>
        <w:t xml:space="preserve">both </w:t>
      </w:r>
      <w:r w:rsidR="00033FB9">
        <w:rPr>
          <w:lang w:val="en"/>
        </w:rPr>
        <w:t xml:space="preserve">the federal and state </w:t>
      </w:r>
      <w:r w:rsidR="007B1AA1">
        <w:rPr>
          <w:lang w:val="en"/>
        </w:rPr>
        <w:t xml:space="preserve">rules </w:t>
      </w:r>
      <w:r w:rsidR="006138D9" w:rsidRPr="00564B9F">
        <w:rPr>
          <w:lang w:val="en"/>
        </w:rPr>
        <w:t>to maintain a publicly available website of CCR compliance documents and data</w:t>
      </w:r>
      <w:r w:rsidR="003B25FE">
        <w:rPr>
          <w:lang w:val="en"/>
        </w:rPr>
        <w:t>,</w:t>
      </w:r>
      <w:r w:rsidR="006138D9" w:rsidRPr="00564B9F">
        <w:rPr>
          <w:lang w:val="en"/>
        </w:rPr>
        <w:t xml:space="preserve"> </w:t>
      </w:r>
      <w:r w:rsidR="003B25FE">
        <w:rPr>
          <w:lang w:val="en"/>
        </w:rPr>
        <w:t xml:space="preserve">the Company </w:t>
      </w:r>
      <w:r w:rsidR="00B252B1">
        <w:rPr>
          <w:lang w:val="en"/>
        </w:rPr>
        <w:t xml:space="preserve">website includes detailed information for each CCR unit, </w:t>
      </w:r>
      <w:r w:rsidR="006C7743">
        <w:rPr>
          <w:lang w:val="en"/>
        </w:rPr>
        <w:t xml:space="preserve">such as </w:t>
      </w:r>
      <w:r w:rsidR="00B252B1">
        <w:rPr>
          <w:lang w:val="en"/>
        </w:rPr>
        <w:t xml:space="preserve">permit documents, </w:t>
      </w:r>
      <w:r w:rsidR="006C7743">
        <w:rPr>
          <w:lang w:val="en"/>
        </w:rPr>
        <w:t>dewatering plans, groundwater monitoring data, and more.</w:t>
      </w:r>
      <w:r w:rsidR="006C7743" w:rsidRPr="00B829DF">
        <w:rPr>
          <w:rStyle w:val="FootnoteReference"/>
          <w:lang w:val="en"/>
        </w:rPr>
        <w:t xml:space="preserve"> </w:t>
      </w:r>
      <w:r w:rsidR="00B829DF">
        <w:rPr>
          <w:rStyle w:val="FootnoteReference"/>
          <w:lang w:val="en"/>
        </w:rPr>
        <w:footnoteReference w:id="7"/>
      </w:r>
      <w:r w:rsidR="006C7743">
        <w:rPr>
          <w:lang w:val="en"/>
        </w:rPr>
        <w:t xml:space="preserve"> </w:t>
      </w:r>
      <w:r w:rsidR="00930848">
        <w:rPr>
          <w:lang w:val="en"/>
        </w:rPr>
        <w:t xml:space="preserve">Under </w:t>
      </w:r>
      <w:r w:rsidR="00877896">
        <w:rPr>
          <w:lang w:val="en"/>
        </w:rPr>
        <w:t xml:space="preserve">EPA’s </w:t>
      </w:r>
      <w:r w:rsidR="00930848">
        <w:rPr>
          <w:lang w:val="en"/>
        </w:rPr>
        <w:t xml:space="preserve">new </w:t>
      </w:r>
      <w:r w:rsidR="007B1A50">
        <w:rPr>
          <w:lang w:val="en"/>
        </w:rPr>
        <w:t>CCR Legacy</w:t>
      </w:r>
      <w:r w:rsidR="00877896">
        <w:rPr>
          <w:lang w:val="en"/>
        </w:rPr>
        <w:t xml:space="preserve"> Rule</w:t>
      </w:r>
      <w:r w:rsidR="008C44A1">
        <w:rPr>
          <w:lang w:val="en"/>
        </w:rPr>
        <w:t xml:space="preserve">, </w:t>
      </w:r>
      <w:r w:rsidR="00392A5F">
        <w:rPr>
          <w:lang w:val="en"/>
        </w:rPr>
        <w:t xml:space="preserve">certain CCR units currently </w:t>
      </w:r>
      <w:r w:rsidR="00C75134">
        <w:rPr>
          <w:lang w:val="en"/>
        </w:rPr>
        <w:t xml:space="preserve">subject to the state rule </w:t>
      </w:r>
      <w:r w:rsidR="009B2D72">
        <w:rPr>
          <w:lang w:val="en"/>
        </w:rPr>
        <w:t>w</w:t>
      </w:r>
      <w:r w:rsidR="00392A5F">
        <w:rPr>
          <w:lang w:val="en"/>
        </w:rPr>
        <w:t xml:space="preserve">ould </w:t>
      </w:r>
      <w:r w:rsidR="009B2D72">
        <w:rPr>
          <w:lang w:val="en"/>
        </w:rPr>
        <w:t xml:space="preserve">also </w:t>
      </w:r>
      <w:r w:rsidR="00392A5F">
        <w:rPr>
          <w:lang w:val="en"/>
        </w:rPr>
        <w:t xml:space="preserve">become subject to </w:t>
      </w:r>
      <w:r w:rsidR="00717919">
        <w:rPr>
          <w:lang w:val="en"/>
        </w:rPr>
        <w:t xml:space="preserve">the </w:t>
      </w:r>
      <w:r w:rsidR="00392A5F">
        <w:rPr>
          <w:lang w:val="en"/>
        </w:rPr>
        <w:t xml:space="preserve">federal </w:t>
      </w:r>
      <w:r w:rsidR="00717919">
        <w:rPr>
          <w:lang w:val="en"/>
        </w:rPr>
        <w:t>rule</w:t>
      </w:r>
      <w:r w:rsidR="00AC7618" w:rsidRPr="72049F6B">
        <w:rPr>
          <w:lang w:val="en"/>
        </w:rPr>
        <w:t xml:space="preserve">, see </w:t>
      </w:r>
      <w:r w:rsidR="00AC7618" w:rsidRPr="72049F6B">
        <w:rPr>
          <w:b/>
          <w:bCs/>
          <w:lang w:val="en"/>
        </w:rPr>
        <w:t xml:space="preserve">Table </w:t>
      </w:r>
      <w:r w:rsidR="00CF58F7" w:rsidRPr="72049F6B">
        <w:rPr>
          <w:b/>
          <w:bCs/>
          <w:lang w:val="en"/>
        </w:rPr>
        <w:t>5</w:t>
      </w:r>
      <w:r w:rsidR="00392A5F">
        <w:rPr>
          <w:lang w:val="en"/>
        </w:rPr>
        <w:t>.</w:t>
      </w:r>
      <w:r w:rsidR="009B2D72">
        <w:rPr>
          <w:lang w:val="en"/>
        </w:rPr>
        <w:t xml:space="preserve"> </w:t>
      </w:r>
      <w:r w:rsidR="000D638B">
        <w:rPr>
          <w:lang w:val="en"/>
        </w:rPr>
        <w:t>While</w:t>
      </w:r>
      <w:r w:rsidR="005B22C8">
        <w:rPr>
          <w:lang w:val="en"/>
        </w:rPr>
        <w:t xml:space="preserve"> these </w:t>
      </w:r>
      <w:r w:rsidR="005A2DD2">
        <w:rPr>
          <w:lang w:val="en"/>
        </w:rPr>
        <w:t>units</w:t>
      </w:r>
      <w:r w:rsidR="005B22C8">
        <w:rPr>
          <w:lang w:val="en"/>
        </w:rPr>
        <w:t xml:space="preserve"> </w:t>
      </w:r>
      <w:r w:rsidR="00E1180B">
        <w:rPr>
          <w:lang w:val="en"/>
        </w:rPr>
        <w:t xml:space="preserve">are now subject to federal </w:t>
      </w:r>
      <w:r w:rsidR="000D638B">
        <w:rPr>
          <w:lang w:val="en"/>
        </w:rPr>
        <w:t>regulation, the c</w:t>
      </w:r>
      <w:r w:rsidR="005A2DD2">
        <w:rPr>
          <w:lang w:val="en"/>
        </w:rPr>
        <w:t xml:space="preserve">losure plans </w:t>
      </w:r>
      <w:r w:rsidR="00C33A2E">
        <w:rPr>
          <w:lang w:val="en"/>
        </w:rPr>
        <w:t xml:space="preserve">are not changing </w:t>
      </w:r>
      <w:r w:rsidR="000D638B">
        <w:rPr>
          <w:lang w:val="en"/>
        </w:rPr>
        <w:t>due to</w:t>
      </w:r>
      <w:r w:rsidR="009D1511">
        <w:rPr>
          <w:lang w:val="en"/>
        </w:rPr>
        <w:t xml:space="preserve"> the state rule’s comprehensive nature </w:t>
      </w:r>
      <w:r w:rsidR="00C92656">
        <w:rPr>
          <w:lang w:val="en"/>
        </w:rPr>
        <w:t xml:space="preserve">to regulate all </w:t>
      </w:r>
      <w:r w:rsidR="00E64B37">
        <w:rPr>
          <w:lang w:val="en"/>
        </w:rPr>
        <w:t xml:space="preserve">CCR units. </w:t>
      </w:r>
      <w:r w:rsidR="00E07420" w:rsidRPr="00E07420">
        <w:rPr>
          <w:lang w:val="en"/>
        </w:rPr>
        <w:t xml:space="preserve">This duplicative regulation would persist until </w:t>
      </w:r>
      <w:r w:rsidR="002922EE">
        <w:rPr>
          <w:lang w:val="en"/>
        </w:rPr>
        <w:t xml:space="preserve">Georgia seeks and EPA approves </w:t>
      </w:r>
      <w:r w:rsidR="321642F9">
        <w:rPr>
          <w:lang w:val="en"/>
        </w:rPr>
        <w:t>incorporation</w:t>
      </w:r>
      <w:r w:rsidR="002303F9">
        <w:rPr>
          <w:lang w:val="en"/>
        </w:rPr>
        <w:t xml:space="preserve"> of the </w:t>
      </w:r>
      <w:r w:rsidR="002922EE">
        <w:rPr>
          <w:lang w:val="en"/>
        </w:rPr>
        <w:t>CCR Legacy Rule</w:t>
      </w:r>
      <w:r w:rsidR="002303F9">
        <w:rPr>
          <w:lang w:val="en"/>
        </w:rPr>
        <w:t xml:space="preserve"> into </w:t>
      </w:r>
      <w:r w:rsidR="009306A0">
        <w:rPr>
          <w:lang w:val="en"/>
        </w:rPr>
        <w:t xml:space="preserve">the </w:t>
      </w:r>
      <w:r w:rsidR="002303F9">
        <w:rPr>
          <w:lang w:val="en"/>
        </w:rPr>
        <w:t>Georgia CCR Rule through the WIIN Act process</w:t>
      </w:r>
      <w:r w:rsidR="00E07420" w:rsidRPr="00E07420">
        <w:rPr>
          <w:lang w:val="en"/>
        </w:rPr>
        <w:t>.</w:t>
      </w:r>
      <w:r w:rsidR="00E07420">
        <w:rPr>
          <w:lang w:val="en"/>
        </w:rPr>
        <w:t xml:space="preserve"> </w:t>
      </w:r>
      <w:r w:rsidR="00197081">
        <w:rPr>
          <w:lang w:val="en"/>
        </w:rPr>
        <w:t>T</w:t>
      </w:r>
      <w:r w:rsidR="00183054">
        <w:rPr>
          <w:lang w:val="en"/>
        </w:rPr>
        <w:t xml:space="preserve">he </w:t>
      </w:r>
      <w:r w:rsidR="00DB1495">
        <w:rPr>
          <w:lang w:val="en"/>
        </w:rPr>
        <w:t xml:space="preserve">CCR </w:t>
      </w:r>
      <w:r w:rsidR="002A5F76">
        <w:rPr>
          <w:lang w:val="en"/>
        </w:rPr>
        <w:t xml:space="preserve">Legacy </w:t>
      </w:r>
      <w:r w:rsidR="00DB1495">
        <w:rPr>
          <w:lang w:val="en"/>
        </w:rPr>
        <w:t>R</w:t>
      </w:r>
      <w:r w:rsidR="00183054">
        <w:rPr>
          <w:lang w:val="en"/>
        </w:rPr>
        <w:t xml:space="preserve">ule </w:t>
      </w:r>
      <w:r w:rsidR="006022DC">
        <w:rPr>
          <w:lang w:val="en"/>
        </w:rPr>
        <w:t>require</w:t>
      </w:r>
      <w:r w:rsidR="00273559">
        <w:rPr>
          <w:lang w:val="en"/>
        </w:rPr>
        <w:t>s</w:t>
      </w:r>
      <w:r w:rsidR="007C14B7">
        <w:rPr>
          <w:lang w:val="en"/>
        </w:rPr>
        <w:t xml:space="preserve"> </w:t>
      </w:r>
      <w:r w:rsidR="00535BC1">
        <w:rPr>
          <w:lang w:val="en"/>
        </w:rPr>
        <w:t>complet</w:t>
      </w:r>
      <w:r w:rsidR="00445891">
        <w:rPr>
          <w:lang w:val="en"/>
        </w:rPr>
        <w:t>ion of</w:t>
      </w:r>
      <w:r w:rsidR="00535BC1">
        <w:rPr>
          <w:lang w:val="en"/>
        </w:rPr>
        <w:t xml:space="preserve"> </w:t>
      </w:r>
      <w:r w:rsidR="36432017">
        <w:rPr>
          <w:lang w:val="en"/>
        </w:rPr>
        <w:t>Applicability</w:t>
      </w:r>
      <w:r w:rsidR="00535BC1">
        <w:rPr>
          <w:lang w:val="en"/>
        </w:rPr>
        <w:t xml:space="preserve"> Reports for all legacy surface </w:t>
      </w:r>
      <w:r w:rsidR="00411B10">
        <w:rPr>
          <w:lang w:val="en"/>
        </w:rPr>
        <w:t>impoundments</w:t>
      </w:r>
      <w:r w:rsidR="005650CE">
        <w:t xml:space="preserve"> and </w:t>
      </w:r>
      <w:r w:rsidR="008E7C0D">
        <w:t xml:space="preserve">commencement of compliance obligations such as </w:t>
      </w:r>
      <w:r w:rsidR="00877896">
        <w:t>physical inspection</w:t>
      </w:r>
      <w:r w:rsidR="00E42291">
        <w:t>s</w:t>
      </w:r>
      <w:r w:rsidR="008E7C0D">
        <w:t xml:space="preserve">, fugitive dust reporting, </w:t>
      </w:r>
      <w:r w:rsidR="00BC5AF1">
        <w:t>installation of signage, etc.</w:t>
      </w:r>
      <w:r w:rsidR="00877896">
        <w:t xml:space="preserve"> </w:t>
      </w:r>
      <w:r w:rsidR="001C759C">
        <w:t>starting on the N</w:t>
      </w:r>
      <w:r w:rsidR="00C327D5">
        <w:t>o</w:t>
      </w:r>
      <w:r w:rsidR="001C759C">
        <w:t>ve</w:t>
      </w:r>
      <w:r w:rsidR="5666FCBD">
        <w:t>m</w:t>
      </w:r>
      <w:r w:rsidR="001C759C">
        <w:t>ber 8, 2024</w:t>
      </w:r>
      <w:r w:rsidR="0056517D">
        <w:t>,</w:t>
      </w:r>
      <w:r w:rsidR="001C759C">
        <w:t xml:space="preserve"> </w:t>
      </w:r>
      <w:r w:rsidR="00877896">
        <w:t>effective date</w:t>
      </w:r>
      <w:r w:rsidR="003C3F82">
        <w:t xml:space="preserve"> of the rule.</w:t>
      </w:r>
      <w:r w:rsidR="007C14B7">
        <w:t xml:space="preserve"> </w:t>
      </w:r>
      <w:r w:rsidR="004C704D">
        <w:t xml:space="preserve">Other </w:t>
      </w:r>
      <w:r w:rsidR="00714562">
        <w:t>ongoing</w:t>
      </w:r>
      <w:r w:rsidR="004C704D">
        <w:t xml:space="preserve"> activities include </w:t>
      </w:r>
      <w:r w:rsidR="00247A2D">
        <w:t>f</w:t>
      </w:r>
      <w:r w:rsidR="003C3F82">
        <w:t xml:space="preserve">acility evaluations </w:t>
      </w:r>
      <w:r w:rsidR="00B2345F">
        <w:t xml:space="preserve">with </w:t>
      </w:r>
      <w:r w:rsidR="00247A2D">
        <w:t>associated reporting in 2026,</w:t>
      </w:r>
      <w:r w:rsidR="00AD0A82">
        <w:t xml:space="preserve"> to identify the presence of CCRMUs</w:t>
      </w:r>
      <w:r w:rsidR="00650F0E">
        <w:t xml:space="preserve"> </w:t>
      </w:r>
      <w:r w:rsidR="00CC28C7">
        <w:t>that will also</w:t>
      </w:r>
      <w:r w:rsidR="001106EE">
        <w:t xml:space="preserve"> </w:t>
      </w:r>
      <w:r w:rsidR="00650F0E">
        <w:t>be subject to</w:t>
      </w:r>
      <w:r w:rsidR="001106EE">
        <w:t xml:space="preserve"> the </w:t>
      </w:r>
      <w:r w:rsidR="00DD216F">
        <w:t xml:space="preserve">CCR </w:t>
      </w:r>
      <w:r w:rsidR="00CC28C7">
        <w:t>requirements</w:t>
      </w:r>
      <w:r w:rsidR="00877896">
        <w:t>.</w:t>
      </w:r>
      <w:r w:rsidR="006022DC">
        <w:t xml:space="preserve"> </w:t>
      </w:r>
      <w:r w:rsidR="00C67C06">
        <w:t xml:space="preserve"> </w:t>
      </w:r>
      <w:r w:rsidR="00C67C06" w:rsidRPr="00C6617C">
        <w:t>The CCR Legacy Rule</w:t>
      </w:r>
      <w:r w:rsidR="00C67C06" w:rsidRPr="000E0CF6">
        <w:t xml:space="preserve"> also created new </w:t>
      </w:r>
      <w:r w:rsidR="00ED0FAF" w:rsidRPr="000E0CF6">
        <w:t>definitions</w:t>
      </w:r>
      <w:r w:rsidR="00C67C06" w:rsidRPr="000E0CF6">
        <w:t xml:space="preserve"> related to performance </w:t>
      </w:r>
      <w:r w:rsidR="00B70FD2" w:rsidRPr="000E0CF6">
        <w:t>standards.</w:t>
      </w:r>
      <w:r w:rsidR="00F75DF7" w:rsidRPr="000E0CF6">
        <w:t xml:space="preserve"> </w:t>
      </w:r>
      <w:r w:rsidR="000E5853" w:rsidRPr="000E0CF6">
        <w:t xml:space="preserve">The </w:t>
      </w:r>
      <w:r w:rsidR="00F75DF7" w:rsidRPr="000E0CF6">
        <w:t xml:space="preserve">Company </w:t>
      </w:r>
      <w:r w:rsidR="001D5473" w:rsidRPr="000E0CF6">
        <w:t xml:space="preserve">is </w:t>
      </w:r>
      <w:r w:rsidR="00095E0E">
        <w:t>working with Georgia EPD, through extensive permitting efforts, to</w:t>
      </w:r>
      <w:r w:rsidR="001D5473" w:rsidRPr="000E0CF6">
        <w:t xml:space="preserve"> </w:t>
      </w:r>
      <w:r w:rsidR="00095E0E" w:rsidRPr="000E0CF6">
        <w:t>evaluat</w:t>
      </w:r>
      <w:r w:rsidR="00095E0E">
        <w:t>e</w:t>
      </w:r>
      <w:r w:rsidR="00434C7C" w:rsidRPr="000E0CF6" w:rsidDel="00ED0FAF">
        <w:t xml:space="preserve"> </w:t>
      </w:r>
      <w:r w:rsidR="000E5853" w:rsidRPr="000E0CF6">
        <w:t xml:space="preserve">applicability to </w:t>
      </w:r>
      <w:r w:rsidR="00143A02" w:rsidRPr="000E0CF6">
        <w:t>its</w:t>
      </w:r>
      <w:r w:rsidR="000E5853" w:rsidRPr="000E0CF6">
        <w:t xml:space="preserve"> closure plans</w:t>
      </w:r>
      <w:r w:rsidR="000E5853" w:rsidRPr="7E0D1D88">
        <w:rPr>
          <w:rStyle w:val="CommentReference"/>
          <w:rFonts w:ascii="Arial" w:hAnsi="Arial"/>
        </w:rPr>
        <w:t xml:space="preserve">. </w:t>
      </w:r>
      <w:r w:rsidR="00273559" w:rsidRPr="00BD765D">
        <w:t xml:space="preserve">These </w:t>
      </w:r>
      <w:r w:rsidR="00273559">
        <w:t>new</w:t>
      </w:r>
      <w:r w:rsidR="00273559" w:rsidRPr="00BD765D">
        <w:t xml:space="preserve"> definitions for infiltration and liquids primarily reflect the EPA’s new interpretations of these standards, first announced in January 2022. They indicate that both lateral and vertical </w:t>
      </w:r>
      <w:r w:rsidR="7782DFA8" w:rsidRPr="00BD765D">
        <w:t>“</w:t>
      </w:r>
      <w:r w:rsidR="00273559" w:rsidRPr="00BD765D">
        <w:t>infiltration</w:t>
      </w:r>
      <w:r w:rsidR="1CA22DF7" w:rsidRPr="00BD765D">
        <w:t>”</w:t>
      </w:r>
      <w:r w:rsidR="00273559" w:rsidRPr="00BD765D">
        <w:t xml:space="preserve"> must be minimized to the greatest extent practicable. Additionally, the longstanding practice of dewatering</w:t>
      </w:r>
      <w:r w:rsidR="00FA3867">
        <w:t xml:space="preserve"> (</w:t>
      </w:r>
      <w:r w:rsidR="00512AF1">
        <w:t xml:space="preserve">removing </w:t>
      </w:r>
      <w:r w:rsidR="00273559" w:rsidRPr="00BD765D">
        <w:t>the water necessary for achieving stability during the installation of effective closure capping</w:t>
      </w:r>
      <w:r w:rsidR="00FA3867">
        <w:t>)</w:t>
      </w:r>
      <w:r w:rsidR="00512AF1">
        <w:t xml:space="preserve"> has now been expanded to include groundwater</w:t>
      </w:r>
      <w:r w:rsidR="00273559">
        <w:t>.</w:t>
      </w:r>
      <w:r w:rsidR="00273559" w:rsidDel="00510440">
        <w:t xml:space="preserve"> </w:t>
      </w:r>
      <w:r w:rsidR="003834AB" w:rsidRPr="000E0CF6">
        <w:t>The retroactive applicability of these definitions is one of the subjects of the legal challenge of the rule.</w:t>
      </w:r>
    </w:p>
    <w:p w14:paraId="7F0E1FF8" w14:textId="77777777" w:rsidR="008106EC" w:rsidRDefault="008106EC">
      <w:pPr>
        <w:spacing w:before="0" w:after="160"/>
        <w:jc w:val="left"/>
        <w:rPr>
          <w:rFonts w:cs="Arial"/>
          <w:b/>
          <w:color w:val="171717" w:themeColor="background2" w:themeShade="1A"/>
          <w:sz w:val="20"/>
          <w:szCs w:val="20"/>
        </w:rPr>
      </w:pPr>
      <w:r>
        <w:rPr>
          <w:rFonts w:cs="Arial"/>
          <w:b/>
          <w:color w:val="171717" w:themeColor="background2" w:themeShade="1A"/>
          <w:sz w:val="20"/>
          <w:szCs w:val="20"/>
        </w:rPr>
        <w:br w:type="page"/>
      </w:r>
    </w:p>
    <w:p w14:paraId="7B9AA265" w14:textId="392FEFC5" w:rsidR="0032795B" w:rsidRPr="00CF58F7" w:rsidRDefault="00CF58F7" w:rsidP="00CF58F7">
      <w:pPr>
        <w:spacing w:after="0" w:line="276" w:lineRule="auto"/>
        <w:jc w:val="center"/>
        <w:rPr>
          <w:rFonts w:cs="Arial"/>
          <w:b/>
          <w:color w:val="171717" w:themeColor="background2" w:themeShade="1A"/>
          <w:sz w:val="20"/>
          <w:szCs w:val="20"/>
        </w:rPr>
      </w:pPr>
      <w:r w:rsidRPr="000E0CF6">
        <w:rPr>
          <w:rFonts w:cs="Arial"/>
          <w:b/>
          <w:color w:val="171717" w:themeColor="background2" w:themeShade="1A"/>
          <w:sz w:val="20"/>
          <w:szCs w:val="20"/>
        </w:rPr>
        <w:lastRenderedPageBreak/>
        <w:t xml:space="preserve">Table </w:t>
      </w:r>
      <w:r w:rsidR="001F1799" w:rsidRPr="000E0CF6">
        <w:rPr>
          <w:rFonts w:cs="Arial"/>
          <w:b/>
          <w:color w:val="171717" w:themeColor="background2" w:themeShade="1A"/>
          <w:sz w:val="20"/>
          <w:szCs w:val="20"/>
        </w:rPr>
        <w:t>5</w:t>
      </w:r>
      <w:r w:rsidRPr="000E0CF6">
        <w:rPr>
          <w:rFonts w:cs="Arial"/>
          <w:b/>
          <w:color w:val="171717" w:themeColor="background2" w:themeShade="1A"/>
          <w:sz w:val="20"/>
          <w:szCs w:val="20"/>
        </w:rPr>
        <w:t>.</w:t>
      </w:r>
      <w:r>
        <w:rPr>
          <w:rFonts w:cs="Arial"/>
          <w:b/>
          <w:color w:val="171717" w:themeColor="background2" w:themeShade="1A"/>
          <w:sz w:val="20"/>
          <w:szCs w:val="20"/>
        </w:rPr>
        <w:t xml:space="preserve"> Georgia Power’s Legacy Surface Impoundment</w:t>
      </w:r>
      <w:r w:rsidR="00CA7989">
        <w:rPr>
          <w:rFonts w:cs="Arial"/>
          <w:b/>
          <w:color w:val="171717" w:themeColor="background2" w:themeShade="1A"/>
          <w:sz w:val="20"/>
          <w:szCs w:val="20"/>
        </w:rPr>
        <w:t xml:space="preserve"> </w:t>
      </w:r>
      <w:r w:rsidR="006723D1">
        <w:rPr>
          <w:rFonts w:cs="Arial"/>
          <w:b/>
          <w:color w:val="171717" w:themeColor="background2" w:themeShade="1A"/>
          <w:sz w:val="20"/>
          <w:szCs w:val="20"/>
        </w:rPr>
        <w:t>Applicability Reports Filed November 2024</w:t>
      </w:r>
      <w:r w:rsidR="00CA7989">
        <w:rPr>
          <w:rFonts w:cs="Arial"/>
          <w:b/>
          <w:color w:val="171717" w:themeColor="background2" w:themeShade="1A"/>
          <w:sz w:val="20"/>
          <w:szCs w:val="20"/>
        </w:rPr>
        <w:t xml:space="preserve"> </w:t>
      </w:r>
    </w:p>
    <w:tbl>
      <w:tblPr>
        <w:tblStyle w:val="ListTable4-Accent1"/>
        <w:tblW w:w="9175" w:type="dxa"/>
        <w:jc w:val="center"/>
        <w:tblLook w:val="0420" w:firstRow="1" w:lastRow="0" w:firstColumn="0" w:lastColumn="0" w:noHBand="0" w:noVBand="1"/>
      </w:tblPr>
      <w:tblGrid>
        <w:gridCol w:w="1165"/>
        <w:gridCol w:w="1544"/>
        <w:gridCol w:w="6466"/>
      </w:tblGrid>
      <w:tr w:rsidR="00AC7CF0" w:rsidRPr="00C46CCC" w14:paraId="4D922EDF" w14:textId="501BFA9E" w:rsidTr="00833488">
        <w:trPr>
          <w:cnfStyle w:val="100000000000" w:firstRow="1" w:lastRow="0" w:firstColumn="0" w:lastColumn="0" w:oddVBand="0" w:evenVBand="0" w:oddHBand="0" w:evenHBand="0" w:firstRowFirstColumn="0" w:firstRowLastColumn="0" w:lastRowFirstColumn="0" w:lastRowLastColumn="0"/>
          <w:trHeight w:hRule="exact" w:val="651"/>
          <w:jc w:val="center"/>
        </w:trPr>
        <w:tc>
          <w:tcPr>
            <w:tcW w:w="1165" w:type="dxa"/>
            <w:tcBorders>
              <w:right w:val="single" w:sz="4" w:space="0" w:color="FFFFFF" w:themeColor="background1"/>
            </w:tcBorders>
            <w:vAlign w:val="center"/>
          </w:tcPr>
          <w:p w14:paraId="3F49DC99" w14:textId="77777777" w:rsidR="00C85B2E" w:rsidRPr="00A07945" w:rsidRDefault="00C85B2E" w:rsidP="009B289B">
            <w:pPr>
              <w:spacing w:before="0" w:after="0"/>
              <w:jc w:val="center"/>
              <w:rPr>
                <w:b w:val="0"/>
                <w:sz w:val="20"/>
                <w:szCs w:val="20"/>
              </w:rPr>
            </w:pPr>
          </w:p>
        </w:tc>
        <w:tc>
          <w:tcPr>
            <w:tcW w:w="1530" w:type="dxa"/>
            <w:tcBorders>
              <w:left w:val="single" w:sz="4" w:space="0" w:color="FFFFFF" w:themeColor="background1"/>
              <w:right w:val="single" w:sz="4" w:space="0" w:color="FFFFFF" w:themeColor="background1"/>
            </w:tcBorders>
            <w:vAlign w:val="center"/>
          </w:tcPr>
          <w:p w14:paraId="0103C5E5" w14:textId="39623220" w:rsidR="00A07945" w:rsidRDefault="00C85B2E" w:rsidP="009B289B">
            <w:pPr>
              <w:spacing w:before="0" w:after="0"/>
              <w:jc w:val="center"/>
              <w:rPr>
                <w:b w:val="0"/>
                <w:sz w:val="20"/>
                <w:szCs w:val="20"/>
              </w:rPr>
            </w:pPr>
            <w:r w:rsidRPr="00A07945">
              <w:rPr>
                <w:b w:val="0"/>
                <w:sz w:val="20"/>
                <w:szCs w:val="20"/>
              </w:rPr>
              <w:t>Legacy Surface Impoundments</w:t>
            </w:r>
          </w:p>
          <w:p w14:paraId="046C6603" w14:textId="3107B5D8" w:rsidR="00A07945" w:rsidRPr="00A07945" w:rsidRDefault="00A07945" w:rsidP="009B289B">
            <w:pPr>
              <w:spacing w:before="0" w:after="0"/>
              <w:jc w:val="center"/>
              <w:rPr>
                <w:b w:val="0"/>
                <w:sz w:val="20"/>
                <w:szCs w:val="20"/>
              </w:rPr>
            </w:pPr>
          </w:p>
        </w:tc>
        <w:tc>
          <w:tcPr>
            <w:tcW w:w="6480" w:type="dxa"/>
            <w:tcBorders>
              <w:left w:val="single" w:sz="4" w:space="0" w:color="FFFFFF" w:themeColor="background1"/>
            </w:tcBorders>
            <w:vAlign w:val="center"/>
          </w:tcPr>
          <w:p w14:paraId="5C6A5B69" w14:textId="27B1E79D" w:rsidR="00C85B2E" w:rsidRPr="00A07945" w:rsidRDefault="00C85B2E" w:rsidP="009B289B">
            <w:pPr>
              <w:spacing w:before="0" w:after="0"/>
              <w:jc w:val="center"/>
              <w:rPr>
                <w:b w:val="0"/>
                <w:sz w:val="20"/>
                <w:szCs w:val="20"/>
              </w:rPr>
            </w:pPr>
            <w:r w:rsidRPr="00A07945">
              <w:rPr>
                <w:b w:val="0"/>
                <w:sz w:val="20"/>
                <w:szCs w:val="20"/>
              </w:rPr>
              <w:t>Notes</w:t>
            </w:r>
          </w:p>
        </w:tc>
      </w:tr>
      <w:tr w:rsidR="00621FAC" w:rsidRPr="00C46CCC" w14:paraId="4652F05E" w14:textId="02E4B7D3" w:rsidTr="00267F3D">
        <w:trPr>
          <w:cnfStyle w:val="000000100000" w:firstRow="0" w:lastRow="0" w:firstColumn="0" w:lastColumn="0" w:oddVBand="0" w:evenVBand="0" w:oddHBand="1" w:evenHBand="0" w:firstRowFirstColumn="0" w:firstRowLastColumn="0" w:lastRowFirstColumn="0" w:lastRowLastColumn="0"/>
          <w:trHeight w:hRule="exact" w:val="1036"/>
          <w:jc w:val="center"/>
        </w:trPr>
        <w:tc>
          <w:tcPr>
            <w:tcW w:w="1165" w:type="dxa"/>
            <w:tcBorders>
              <w:right w:val="single" w:sz="4" w:space="0" w:color="FFFFFF" w:themeColor="background1"/>
            </w:tcBorders>
            <w:shd w:val="clear" w:color="auto" w:fill="E7E6E6" w:themeFill="background2"/>
            <w:vAlign w:val="center"/>
          </w:tcPr>
          <w:p w14:paraId="3494BE93" w14:textId="77777777" w:rsidR="00C85B2E" w:rsidRPr="00C46CCC" w:rsidRDefault="00C85B2E" w:rsidP="009B289B">
            <w:pPr>
              <w:spacing w:before="0" w:after="0"/>
              <w:jc w:val="left"/>
              <w:rPr>
                <w:b/>
                <w:color w:val="000000"/>
                <w:sz w:val="20"/>
                <w:szCs w:val="20"/>
              </w:rPr>
            </w:pPr>
            <w:r w:rsidRPr="00C46CCC">
              <w:rPr>
                <w:b/>
                <w:color w:val="000000"/>
                <w:sz w:val="20"/>
                <w:szCs w:val="20"/>
              </w:rPr>
              <w:t>Arkwright</w:t>
            </w:r>
          </w:p>
        </w:tc>
        <w:tc>
          <w:tcPr>
            <w:tcW w:w="1530" w:type="dxa"/>
            <w:tcBorders>
              <w:left w:val="single" w:sz="4" w:space="0" w:color="FFFFFF" w:themeColor="background1"/>
              <w:right w:val="single" w:sz="4" w:space="0" w:color="FFFFFF" w:themeColor="background1"/>
            </w:tcBorders>
            <w:shd w:val="clear" w:color="auto" w:fill="E7E6E6" w:themeFill="background2"/>
            <w:vAlign w:val="center"/>
          </w:tcPr>
          <w:p w14:paraId="040B734C" w14:textId="77777777" w:rsidR="00C85B2E" w:rsidRPr="00C46CCC" w:rsidRDefault="00C85B2E" w:rsidP="009B289B">
            <w:pPr>
              <w:spacing w:before="0" w:after="0"/>
              <w:jc w:val="center"/>
              <w:rPr>
                <w:b/>
                <w:color w:val="000000" w:themeColor="text1"/>
                <w:sz w:val="20"/>
                <w:szCs w:val="20"/>
              </w:rPr>
            </w:pPr>
            <w:r>
              <w:rPr>
                <w:b/>
                <w:color w:val="000000" w:themeColor="text1"/>
                <w:sz w:val="20"/>
                <w:szCs w:val="20"/>
              </w:rPr>
              <w:t>2</w:t>
            </w:r>
          </w:p>
        </w:tc>
        <w:tc>
          <w:tcPr>
            <w:tcW w:w="6480" w:type="dxa"/>
            <w:tcBorders>
              <w:left w:val="single" w:sz="4" w:space="0" w:color="FFFFFF" w:themeColor="background1"/>
            </w:tcBorders>
            <w:shd w:val="clear" w:color="auto" w:fill="E7E6E6" w:themeFill="background2"/>
            <w:vAlign w:val="center"/>
          </w:tcPr>
          <w:p w14:paraId="1B6CD9F2" w14:textId="7A17924B" w:rsidR="00C85B2E" w:rsidRPr="00AE336F" w:rsidRDefault="00A07945" w:rsidP="009B289B">
            <w:pPr>
              <w:spacing w:before="0" w:after="0"/>
              <w:rPr>
                <w:bCs/>
                <w:color w:val="000000" w:themeColor="text1"/>
                <w:sz w:val="20"/>
                <w:szCs w:val="20"/>
              </w:rPr>
            </w:pPr>
            <w:r w:rsidRPr="00AE336F">
              <w:rPr>
                <w:bCs/>
                <w:color w:val="000000" w:themeColor="text1"/>
                <w:sz w:val="18"/>
                <w:szCs w:val="18"/>
              </w:rPr>
              <w:t xml:space="preserve">Two of the three </w:t>
            </w:r>
            <w:r w:rsidR="00267F3D">
              <w:rPr>
                <w:bCs/>
                <w:color w:val="000000" w:themeColor="text1"/>
                <w:sz w:val="18"/>
                <w:szCs w:val="18"/>
              </w:rPr>
              <w:t xml:space="preserve">CCR </w:t>
            </w:r>
            <w:r w:rsidRPr="00AE336F">
              <w:rPr>
                <w:bCs/>
                <w:color w:val="000000" w:themeColor="text1"/>
                <w:sz w:val="18"/>
                <w:szCs w:val="18"/>
              </w:rPr>
              <w:t xml:space="preserve">units </w:t>
            </w:r>
            <w:r w:rsidR="00267F3D">
              <w:rPr>
                <w:bCs/>
                <w:color w:val="000000" w:themeColor="text1"/>
                <w:sz w:val="18"/>
                <w:szCs w:val="18"/>
              </w:rPr>
              <w:t>at Arkwright</w:t>
            </w:r>
            <w:r w:rsidRPr="00AE336F">
              <w:rPr>
                <w:bCs/>
                <w:color w:val="000000" w:themeColor="text1"/>
                <w:sz w:val="18"/>
                <w:szCs w:val="18"/>
              </w:rPr>
              <w:t xml:space="preserve"> </w:t>
            </w:r>
            <w:r w:rsidR="00550B53" w:rsidRPr="00AE336F">
              <w:rPr>
                <w:bCs/>
                <w:color w:val="000000" w:themeColor="text1"/>
                <w:sz w:val="18"/>
                <w:szCs w:val="18"/>
              </w:rPr>
              <w:t>are classified as legacy surface impoundments.</w:t>
            </w:r>
            <w:r w:rsidR="00095E0E">
              <w:rPr>
                <w:bCs/>
                <w:color w:val="000000" w:themeColor="text1"/>
                <w:sz w:val="18"/>
                <w:szCs w:val="18"/>
              </w:rPr>
              <w:t xml:space="preserve"> These units were previously closed as landfills and are identified as such in </w:t>
            </w:r>
            <w:r w:rsidR="000D16B6">
              <w:rPr>
                <w:bCs/>
                <w:color w:val="000000" w:themeColor="text1"/>
                <w:sz w:val="18"/>
                <w:szCs w:val="18"/>
              </w:rPr>
              <w:t>Georgia.</w:t>
            </w:r>
          </w:p>
        </w:tc>
      </w:tr>
      <w:tr w:rsidR="00621FAC" w14:paraId="3C72B8DB" w14:textId="7CC4EE3D" w:rsidTr="00267F3D">
        <w:trPr>
          <w:trHeight w:hRule="exact" w:val="679"/>
          <w:jc w:val="center"/>
        </w:trPr>
        <w:tc>
          <w:tcPr>
            <w:tcW w:w="1165" w:type="dxa"/>
            <w:tcBorders>
              <w:right w:val="single" w:sz="4" w:space="0" w:color="FFFFFF" w:themeColor="background1"/>
            </w:tcBorders>
            <w:shd w:val="clear" w:color="auto" w:fill="auto"/>
            <w:vAlign w:val="center"/>
            <w:hideMark/>
          </w:tcPr>
          <w:p w14:paraId="7AC32134" w14:textId="77777777" w:rsidR="00C85B2E" w:rsidRPr="00C46CCC" w:rsidRDefault="00C85B2E" w:rsidP="009B289B">
            <w:pPr>
              <w:spacing w:before="0" w:after="0"/>
              <w:jc w:val="left"/>
              <w:rPr>
                <w:color w:val="000000"/>
                <w:sz w:val="20"/>
                <w:szCs w:val="20"/>
              </w:rPr>
            </w:pPr>
            <w:r w:rsidRPr="00C46CCC">
              <w:rPr>
                <w:b/>
                <w:color w:val="000000"/>
                <w:sz w:val="20"/>
                <w:szCs w:val="20"/>
              </w:rPr>
              <w:t>Branch</w:t>
            </w:r>
          </w:p>
        </w:tc>
        <w:tc>
          <w:tcPr>
            <w:tcW w:w="1530" w:type="dxa"/>
            <w:tcBorders>
              <w:left w:val="single" w:sz="4" w:space="0" w:color="FFFFFF" w:themeColor="background1"/>
              <w:right w:val="single" w:sz="4" w:space="0" w:color="FFFFFF" w:themeColor="background1"/>
            </w:tcBorders>
            <w:shd w:val="clear" w:color="auto" w:fill="auto"/>
            <w:vAlign w:val="center"/>
          </w:tcPr>
          <w:p w14:paraId="40634C4B" w14:textId="77777777" w:rsidR="00C85B2E" w:rsidRDefault="00C85B2E" w:rsidP="009B289B">
            <w:pPr>
              <w:spacing w:before="0" w:after="0"/>
              <w:jc w:val="center"/>
              <w:rPr>
                <w:b/>
                <w:color w:val="000000"/>
                <w:sz w:val="20"/>
                <w:szCs w:val="20"/>
              </w:rPr>
            </w:pPr>
            <w:r>
              <w:rPr>
                <w:b/>
                <w:color w:val="000000"/>
                <w:sz w:val="20"/>
                <w:szCs w:val="20"/>
              </w:rPr>
              <w:t>5</w:t>
            </w:r>
          </w:p>
        </w:tc>
        <w:tc>
          <w:tcPr>
            <w:tcW w:w="6480" w:type="dxa"/>
            <w:tcBorders>
              <w:left w:val="single" w:sz="4" w:space="0" w:color="FFFFFF" w:themeColor="background1"/>
            </w:tcBorders>
            <w:shd w:val="clear" w:color="auto" w:fill="auto"/>
            <w:vAlign w:val="center"/>
          </w:tcPr>
          <w:p w14:paraId="29F48D07" w14:textId="3EEED04A" w:rsidR="00C85B2E" w:rsidRPr="00AE336F" w:rsidRDefault="00550B53" w:rsidP="009B289B">
            <w:pPr>
              <w:spacing w:before="0" w:after="0"/>
              <w:jc w:val="left"/>
              <w:rPr>
                <w:bCs/>
                <w:color w:val="000000"/>
                <w:sz w:val="20"/>
                <w:szCs w:val="20"/>
              </w:rPr>
            </w:pPr>
            <w:proofErr w:type="gramStart"/>
            <w:r w:rsidRPr="00AE336F">
              <w:rPr>
                <w:bCs/>
                <w:color w:val="000000"/>
                <w:sz w:val="18"/>
                <w:szCs w:val="18"/>
              </w:rPr>
              <w:t>All of</w:t>
            </w:r>
            <w:proofErr w:type="gramEnd"/>
            <w:r w:rsidRPr="00AE336F">
              <w:rPr>
                <w:bCs/>
                <w:color w:val="000000"/>
                <w:sz w:val="18"/>
                <w:szCs w:val="18"/>
              </w:rPr>
              <w:t xml:space="preserve"> the </w:t>
            </w:r>
            <w:r w:rsidR="00267F3D">
              <w:rPr>
                <w:bCs/>
                <w:color w:val="000000"/>
                <w:sz w:val="18"/>
                <w:szCs w:val="18"/>
              </w:rPr>
              <w:t xml:space="preserve">CCR </w:t>
            </w:r>
            <w:r w:rsidRPr="00AE336F">
              <w:rPr>
                <w:bCs/>
                <w:color w:val="000000"/>
                <w:sz w:val="18"/>
                <w:szCs w:val="18"/>
              </w:rPr>
              <w:t xml:space="preserve">units </w:t>
            </w:r>
            <w:r w:rsidR="00267F3D">
              <w:rPr>
                <w:bCs/>
                <w:color w:val="000000"/>
                <w:sz w:val="18"/>
                <w:szCs w:val="18"/>
              </w:rPr>
              <w:t xml:space="preserve">at Branch </w:t>
            </w:r>
            <w:r w:rsidRPr="00AE336F">
              <w:rPr>
                <w:bCs/>
                <w:color w:val="000000"/>
                <w:sz w:val="18"/>
                <w:szCs w:val="18"/>
              </w:rPr>
              <w:t>are classified as legacy surface impoundments.</w:t>
            </w:r>
          </w:p>
        </w:tc>
      </w:tr>
      <w:tr w:rsidR="00621FAC" w:rsidRPr="00C46CCC" w14:paraId="6BB7D111" w14:textId="00DEE1AA" w:rsidTr="004F3C42">
        <w:trPr>
          <w:cnfStyle w:val="000000100000" w:firstRow="0" w:lastRow="0" w:firstColumn="0" w:lastColumn="0" w:oddVBand="0" w:evenVBand="0" w:oddHBand="1" w:evenHBand="0" w:firstRowFirstColumn="0" w:firstRowLastColumn="0" w:lastRowFirstColumn="0" w:lastRowLastColumn="0"/>
          <w:trHeight w:hRule="exact" w:val="1054"/>
          <w:jc w:val="center"/>
        </w:trPr>
        <w:tc>
          <w:tcPr>
            <w:tcW w:w="1165" w:type="dxa"/>
            <w:tcBorders>
              <w:right w:val="single" w:sz="4" w:space="0" w:color="FFFFFF" w:themeColor="background1"/>
            </w:tcBorders>
            <w:shd w:val="clear" w:color="auto" w:fill="E7E6E6" w:themeFill="background2"/>
            <w:vAlign w:val="center"/>
            <w:hideMark/>
          </w:tcPr>
          <w:p w14:paraId="79DF13B1" w14:textId="77777777" w:rsidR="00C85B2E" w:rsidRPr="00C46CCC" w:rsidRDefault="00C85B2E" w:rsidP="009B289B">
            <w:pPr>
              <w:spacing w:before="0" w:after="0"/>
              <w:jc w:val="left"/>
              <w:rPr>
                <w:color w:val="000000"/>
                <w:sz w:val="20"/>
                <w:szCs w:val="20"/>
              </w:rPr>
            </w:pPr>
            <w:r w:rsidRPr="00C46CCC">
              <w:rPr>
                <w:b/>
                <w:color w:val="000000"/>
                <w:sz w:val="20"/>
                <w:szCs w:val="20"/>
              </w:rPr>
              <w:t>Kraft</w:t>
            </w:r>
          </w:p>
        </w:tc>
        <w:tc>
          <w:tcPr>
            <w:tcW w:w="1530" w:type="dxa"/>
            <w:tcBorders>
              <w:left w:val="single" w:sz="4" w:space="0" w:color="FFFFFF" w:themeColor="background1"/>
              <w:right w:val="single" w:sz="4" w:space="0" w:color="FFFFFF" w:themeColor="background1"/>
            </w:tcBorders>
            <w:shd w:val="clear" w:color="auto" w:fill="E7E6E6" w:themeFill="background2"/>
            <w:vAlign w:val="center"/>
          </w:tcPr>
          <w:p w14:paraId="17E5F369" w14:textId="77777777" w:rsidR="00C85B2E" w:rsidRPr="00C46CCC" w:rsidRDefault="00C85B2E" w:rsidP="009B289B">
            <w:pPr>
              <w:spacing w:before="0" w:after="0"/>
              <w:jc w:val="center"/>
              <w:rPr>
                <w:b/>
                <w:color w:val="000000"/>
                <w:sz w:val="20"/>
                <w:szCs w:val="20"/>
              </w:rPr>
            </w:pPr>
            <w:r>
              <w:rPr>
                <w:b/>
                <w:color w:val="000000"/>
                <w:sz w:val="20"/>
                <w:szCs w:val="20"/>
              </w:rPr>
              <w:t>1</w:t>
            </w:r>
          </w:p>
        </w:tc>
        <w:tc>
          <w:tcPr>
            <w:tcW w:w="6480" w:type="dxa"/>
            <w:tcBorders>
              <w:left w:val="single" w:sz="4" w:space="0" w:color="FFFFFF" w:themeColor="background1"/>
            </w:tcBorders>
            <w:shd w:val="clear" w:color="auto" w:fill="E7E6E6" w:themeFill="background2"/>
            <w:vAlign w:val="center"/>
          </w:tcPr>
          <w:p w14:paraId="0183D63B" w14:textId="5AB799B3" w:rsidR="00C85B2E" w:rsidRPr="00AE336F" w:rsidRDefault="00550B53" w:rsidP="009B289B">
            <w:pPr>
              <w:spacing w:before="0" w:after="0"/>
              <w:jc w:val="left"/>
              <w:rPr>
                <w:rFonts w:eastAsia="Times New Roman" w:cs="Calibri"/>
                <w:color w:val="000000"/>
                <w:sz w:val="20"/>
                <w:szCs w:val="20"/>
              </w:rPr>
            </w:pPr>
            <w:r w:rsidRPr="65C7347A">
              <w:rPr>
                <w:color w:val="000000" w:themeColor="text1"/>
                <w:sz w:val="18"/>
                <w:szCs w:val="18"/>
              </w:rPr>
              <w:t>Kraft AP-1 is classified as a legacy surface impoundment.</w:t>
            </w:r>
            <w:r w:rsidR="2A4693E6" w:rsidRPr="65C7347A">
              <w:rPr>
                <w:color w:val="000000" w:themeColor="text1"/>
                <w:sz w:val="18"/>
                <w:szCs w:val="18"/>
              </w:rPr>
              <w:t xml:space="preserve"> </w:t>
            </w:r>
            <w:r w:rsidR="2A4693E6" w:rsidRPr="415DF079">
              <w:rPr>
                <w:color w:val="000000" w:themeColor="text1"/>
                <w:sz w:val="18"/>
                <w:szCs w:val="18"/>
              </w:rPr>
              <w:t xml:space="preserve"> </w:t>
            </w:r>
            <w:r w:rsidR="2A4693E6" w:rsidRPr="00863F93">
              <w:rPr>
                <w:color w:val="000000" w:themeColor="text1"/>
                <w:sz w:val="18"/>
                <w:szCs w:val="18"/>
              </w:rPr>
              <w:t>The parcel containing AP-1 is owned by Georgia Ports Authority  but operated by Georgia Power for purposes of the Legacy Impoundment rule.</w:t>
            </w:r>
          </w:p>
        </w:tc>
      </w:tr>
      <w:tr w:rsidR="00AC7CF0" w:rsidRPr="00C46CCC" w14:paraId="2B23C51C" w14:textId="6A13A294" w:rsidTr="00267F3D">
        <w:trPr>
          <w:trHeight w:hRule="exact" w:val="616"/>
          <w:jc w:val="center"/>
        </w:trPr>
        <w:tc>
          <w:tcPr>
            <w:tcW w:w="1165" w:type="dxa"/>
            <w:tcBorders>
              <w:right w:val="single" w:sz="4" w:space="0" w:color="FFFFFF" w:themeColor="background1"/>
            </w:tcBorders>
            <w:vAlign w:val="center"/>
            <w:hideMark/>
          </w:tcPr>
          <w:p w14:paraId="03BFB9FE" w14:textId="77777777" w:rsidR="00C85B2E" w:rsidRPr="00C46CCC" w:rsidRDefault="00C85B2E" w:rsidP="009B289B">
            <w:pPr>
              <w:spacing w:before="0" w:after="0"/>
              <w:jc w:val="left"/>
              <w:rPr>
                <w:color w:val="000000"/>
                <w:sz w:val="20"/>
                <w:szCs w:val="20"/>
              </w:rPr>
            </w:pPr>
            <w:r w:rsidRPr="00C46CCC">
              <w:rPr>
                <w:b/>
                <w:color w:val="000000"/>
                <w:sz w:val="20"/>
                <w:szCs w:val="20"/>
              </w:rPr>
              <w:t>Mitchell</w:t>
            </w:r>
          </w:p>
        </w:tc>
        <w:tc>
          <w:tcPr>
            <w:tcW w:w="1530" w:type="dxa"/>
            <w:tcBorders>
              <w:left w:val="single" w:sz="4" w:space="0" w:color="FFFFFF" w:themeColor="background1"/>
              <w:right w:val="single" w:sz="4" w:space="0" w:color="FFFFFF" w:themeColor="background1"/>
            </w:tcBorders>
            <w:vAlign w:val="center"/>
          </w:tcPr>
          <w:p w14:paraId="1A90413F" w14:textId="77777777" w:rsidR="00C85B2E" w:rsidRPr="009708E3" w:rsidRDefault="00C85B2E" w:rsidP="009B289B">
            <w:pPr>
              <w:spacing w:before="0" w:after="0"/>
              <w:jc w:val="center"/>
              <w:rPr>
                <w:b/>
                <w:color w:val="000000"/>
                <w:sz w:val="18"/>
                <w:szCs w:val="18"/>
              </w:rPr>
            </w:pPr>
            <w:r w:rsidRPr="009708E3">
              <w:rPr>
                <w:b/>
                <w:color w:val="000000"/>
                <w:sz w:val="18"/>
                <w:szCs w:val="18"/>
              </w:rPr>
              <w:t>2</w:t>
            </w:r>
          </w:p>
        </w:tc>
        <w:tc>
          <w:tcPr>
            <w:tcW w:w="6480" w:type="dxa"/>
            <w:tcBorders>
              <w:left w:val="single" w:sz="4" w:space="0" w:color="FFFFFF" w:themeColor="background1"/>
            </w:tcBorders>
            <w:vAlign w:val="center"/>
          </w:tcPr>
          <w:p w14:paraId="0E50FE4E" w14:textId="57A7D317" w:rsidR="00C85B2E" w:rsidRPr="00AE336F" w:rsidRDefault="00550B53" w:rsidP="009B289B">
            <w:pPr>
              <w:spacing w:before="0" w:after="0"/>
              <w:jc w:val="left"/>
              <w:rPr>
                <w:bCs/>
                <w:color w:val="000000"/>
                <w:sz w:val="18"/>
                <w:szCs w:val="18"/>
              </w:rPr>
            </w:pPr>
            <w:r w:rsidRPr="00AE336F">
              <w:rPr>
                <w:bCs/>
                <w:color w:val="000000"/>
                <w:sz w:val="18"/>
                <w:szCs w:val="18"/>
              </w:rPr>
              <w:t xml:space="preserve">Two of the three </w:t>
            </w:r>
            <w:r w:rsidR="00267F3D">
              <w:rPr>
                <w:bCs/>
                <w:color w:val="000000"/>
                <w:sz w:val="18"/>
                <w:szCs w:val="18"/>
              </w:rPr>
              <w:t xml:space="preserve">CCR </w:t>
            </w:r>
            <w:r w:rsidRPr="00AE336F">
              <w:rPr>
                <w:bCs/>
                <w:color w:val="000000"/>
                <w:sz w:val="18"/>
                <w:szCs w:val="18"/>
              </w:rPr>
              <w:t>units at Mitchell are classified as legacy surface impoundments.</w:t>
            </w:r>
          </w:p>
        </w:tc>
      </w:tr>
      <w:tr w:rsidR="00C85B2E" w14:paraId="1F3B88C5" w14:textId="7728C1F5" w:rsidTr="00267F3D">
        <w:trPr>
          <w:cnfStyle w:val="000000100000" w:firstRow="0" w:lastRow="0" w:firstColumn="0" w:lastColumn="0" w:oddVBand="0" w:evenVBand="0" w:oddHBand="1" w:evenHBand="0" w:firstRowFirstColumn="0" w:firstRowLastColumn="0" w:lastRowFirstColumn="0" w:lastRowLastColumn="0"/>
          <w:trHeight w:hRule="exact" w:val="288"/>
          <w:jc w:val="center"/>
        </w:trPr>
        <w:tc>
          <w:tcPr>
            <w:tcW w:w="1165" w:type="dxa"/>
            <w:tcBorders>
              <w:right w:val="single" w:sz="4" w:space="0" w:color="FFFFFF" w:themeColor="background1"/>
            </w:tcBorders>
            <w:shd w:val="clear" w:color="auto" w:fill="E7E6E6" w:themeFill="background2"/>
            <w:vAlign w:val="center"/>
            <w:hideMark/>
          </w:tcPr>
          <w:p w14:paraId="7BF052D2" w14:textId="35FF3D77" w:rsidR="00C85B2E" w:rsidRPr="00C6617C" w:rsidRDefault="00D732F8" w:rsidP="009B289B">
            <w:pPr>
              <w:spacing w:before="0" w:after="0"/>
              <w:jc w:val="left"/>
              <w:rPr>
                <w:b/>
                <w:color w:val="000000"/>
                <w:sz w:val="20"/>
                <w:szCs w:val="20"/>
              </w:rPr>
            </w:pPr>
            <w:r w:rsidRPr="00C6617C">
              <w:rPr>
                <w:b/>
                <w:bCs/>
                <w:color w:val="000000"/>
                <w:sz w:val="20"/>
                <w:szCs w:val="20"/>
              </w:rPr>
              <w:t>Total</w:t>
            </w:r>
          </w:p>
        </w:tc>
        <w:tc>
          <w:tcPr>
            <w:tcW w:w="1530" w:type="dxa"/>
            <w:tcBorders>
              <w:left w:val="single" w:sz="4" w:space="0" w:color="FFFFFF" w:themeColor="background1"/>
              <w:right w:val="single" w:sz="4" w:space="0" w:color="FFFFFF" w:themeColor="background1"/>
            </w:tcBorders>
            <w:shd w:val="clear" w:color="auto" w:fill="E7E6E6" w:themeFill="background2"/>
            <w:vAlign w:val="center"/>
          </w:tcPr>
          <w:p w14:paraId="5341D2A9" w14:textId="77777777" w:rsidR="00C85B2E" w:rsidRDefault="00C85B2E" w:rsidP="009B289B">
            <w:pPr>
              <w:spacing w:before="0" w:after="0"/>
              <w:jc w:val="center"/>
              <w:rPr>
                <w:b/>
                <w:color w:val="000000"/>
                <w:sz w:val="20"/>
                <w:szCs w:val="20"/>
              </w:rPr>
            </w:pPr>
            <w:r>
              <w:rPr>
                <w:b/>
                <w:color w:val="000000"/>
                <w:sz w:val="20"/>
                <w:szCs w:val="20"/>
              </w:rPr>
              <w:t>10</w:t>
            </w:r>
          </w:p>
        </w:tc>
        <w:tc>
          <w:tcPr>
            <w:tcW w:w="6480" w:type="dxa"/>
            <w:tcBorders>
              <w:left w:val="single" w:sz="4" w:space="0" w:color="FFFFFF" w:themeColor="background1"/>
            </w:tcBorders>
            <w:shd w:val="clear" w:color="auto" w:fill="E7E6E6" w:themeFill="background2"/>
          </w:tcPr>
          <w:p w14:paraId="71A5BF60" w14:textId="77777777" w:rsidR="00C85B2E" w:rsidRDefault="00C85B2E" w:rsidP="009B289B">
            <w:pPr>
              <w:spacing w:before="0" w:after="0"/>
              <w:rPr>
                <w:b/>
                <w:color w:val="000000"/>
                <w:sz w:val="20"/>
                <w:szCs w:val="20"/>
              </w:rPr>
            </w:pPr>
          </w:p>
        </w:tc>
      </w:tr>
    </w:tbl>
    <w:p w14:paraId="6A90B950" w14:textId="77777777" w:rsidR="0032795B" w:rsidRPr="00564B9F" w:rsidRDefault="0032795B" w:rsidP="00811DBE">
      <w:pPr>
        <w:spacing w:before="0" w:after="0" w:line="240" w:lineRule="auto"/>
        <w:rPr>
          <w:lang w:val="en"/>
        </w:rPr>
      </w:pPr>
    </w:p>
    <w:p w14:paraId="147D64B6" w14:textId="656AEFF6" w:rsidR="000B3A81" w:rsidRPr="0081189F" w:rsidRDefault="000B3A81" w:rsidP="0081189F">
      <w:pPr>
        <w:pStyle w:val="Smallheading3notoc"/>
        <w:rPr>
          <w:rStyle w:val="Emphasis"/>
          <w:i w:val="0"/>
          <w:sz w:val="22"/>
          <w:u w:val="none"/>
        </w:rPr>
      </w:pPr>
      <w:bookmarkStart w:id="41" w:name="_Toc94197915"/>
      <w:r w:rsidRPr="0081189F">
        <w:rPr>
          <w:rStyle w:val="Emphasis"/>
          <w:i w:val="0"/>
          <w:sz w:val="22"/>
          <w:u w:val="none"/>
        </w:rPr>
        <w:t xml:space="preserve">Ash Pond and Landfill </w:t>
      </w:r>
      <w:r w:rsidR="00161D27" w:rsidRPr="0081189F">
        <w:rPr>
          <w:rStyle w:val="Emphasis"/>
          <w:i w:val="0"/>
          <w:sz w:val="22"/>
          <w:u w:val="none"/>
        </w:rPr>
        <w:t xml:space="preserve">Closure </w:t>
      </w:r>
      <w:r w:rsidRPr="0081189F">
        <w:rPr>
          <w:rStyle w:val="Emphasis"/>
          <w:i w:val="0"/>
          <w:sz w:val="22"/>
          <w:u w:val="none"/>
        </w:rPr>
        <w:t>Strategy</w:t>
      </w:r>
      <w:bookmarkEnd w:id="41"/>
    </w:p>
    <w:p w14:paraId="01AAC9F4" w14:textId="69D3BF45" w:rsidR="003625E5" w:rsidRDefault="00C32911" w:rsidP="009A4A30">
      <w:pPr>
        <w:rPr>
          <w:lang w:val="en"/>
        </w:rPr>
      </w:pPr>
      <w:r>
        <w:rPr>
          <w:lang w:val="en"/>
        </w:rPr>
        <w:t>Georgia Power</w:t>
      </w:r>
      <w:r w:rsidR="00B7010C">
        <w:rPr>
          <w:lang w:val="en"/>
        </w:rPr>
        <w:t xml:space="preserve">’s </w:t>
      </w:r>
      <w:r w:rsidR="001422C3">
        <w:rPr>
          <w:lang w:val="en"/>
        </w:rPr>
        <w:t xml:space="preserve">site-specific </w:t>
      </w:r>
      <w:r w:rsidR="00B7010C">
        <w:rPr>
          <w:lang w:val="en"/>
        </w:rPr>
        <w:t xml:space="preserve">CCR </w:t>
      </w:r>
      <w:r w:rsidR="001465F1">
        <w:rPr>
          <w:lang w:val="en"/>
        </w:rPr>
        <w:t xml:space="preserve">closure strategies </w:t>
      </w:r>
      <w:r w:rsidR="00B7010C">
        <w:t xml:space="preserve">for </w:t>
      </w:r>
      <w:r w:rsidR="000B3A81">
        <w:rPr>
          <w:color w:val="171717" w:themeColor="background2" w:themeShade="1A"/>
        </w:rPr>
        <w:t>29 ash ponds and 1</w:t>
      </w:r>
      <w:r w:rsidR="00FF45DD">
        <w:rPr>
          <w:color w:val="171717" w:themeColor="background2" w:themeShade="1A"/>
        </w:rPr>
        <w:t>2</w:t>
      </w:r>
      <w:r w:rsidR="000B3A81">
        <w:rPr>
          <w:color w:val="171717" w:themeColor="background2" w:themeShade="1A"/>
        </w:rPr>
        <w:t xml:space="preserve"> existing CCR landfills at 12 sites across the state</w:t>
      </w:r>
      <w:r w:rsidR="00CA0117">
        <w:rPr>
          <w:color w:val="171717" w:themeColor="background2" w:themeShade="1A"/>
        </w:rPr>
        <w:t xml:space="preserve"> </w:t>
      </w:r>
      <w:r w:rsidR="001465F1">
        <w:rPr>
          <w:color w:val="171717" w:themeColor="background2" w:themeShade="1A"/>
        </w:rPr>
        <w:t>are</w:t>
      </w:r>
      <w:r w:rsidR="00CA0117">
        <w:rPr>
          <w:color w:val="171717" w:themeColor="background2" w:themeShade="1A"/>
        </w:rPr>
        <w:t xml:space="preserve"> </w:t>
      </w:r>
      <w:r w:rsidR="007865AC">
        <w:rPr>
          <w:lang w:val="en"/>
        </w:rPr>
        <w:t>shown in</w:t>
      </w:r>
      <w:r w:rsidR="00AF3FFA">
        <w:rPr>
          <w:lang w:val="en"/>
        </w:rPr>
        <w:t xml:space="preserve"> </w:t>
      </w:r>
      <w:r w:rsidR="00AF3FFA" w:rsidRPr="00AF3FFA">
        <w:rPr>
          <w:b/>
          <w:bCs/>
          <w:lang w:val="en"/>
        </w:rPr>
        <w:t xml:space="preserve">Table </w:t>
      </w:r>
      <w:r w:rsidR="001F1799">
        <w:rPr>
          <w:b/>
          <w:bCs/>
          <w:lang w:val="en"/>
        </w:rPr>
        <w:t>6</w:t>
      </w:r>
      <w:r w:rsidR="00AF3FFA">
        <w:rPr>
          <w:lang w:val="en"/>
        </w:rPr>
        <w:t xml:space="preserve">. </w:t>
      </w:r>
      <w:r w:rsidR="00570B5E">
        <w:rPr>
          <w:lang w:val="en"/>
        </w:rPr>
        <w:t>The closure plans are</w:t>
      </w:r>
      <w:r w:rsidR="00570B5E" w:rsidRPr="00D666D9">
        <w:rPr>
          <w:lang w:val="en"/>
        </w:rPr>
        <w:t xml:space="preserve"> based </w:t>
      </w:r>
      <w:r w:rsidR="00570B5E">
        <w:rPr>
          <w:lang w:val="en"/>
        </w:rPr>
        <w:t>on detailed site-specific designs performed by third party professional engineers</w:t>
      </w:r>
      <w:r w:rsidR="00B14DD7">
        <w:rPr>
          <w:lang w:val="en"/>
        </w:rPr>
        <w:t xml:space="preserve"> </w:t>
      </w:r>
      <w:r w:rsidR="00B14DD7">
        <w:t>with expertise in solid waste permitting and design</w:t>
      </w:r>
      <w:r w:rsidR="00EE40A8">
        <w:t>.</w:t>
      </w:r>
      <w:r w:rsidR="007C14B7">
        <w:t xml:space="preserve"> </w:t>
      </w:r>
      <w:r w:rsidR="0047157D">
        <w:t xml:space="preserve">The site-specific plans </w:t>
      </w:r>
      <w:r w:rsidR="00246936">
        <w:t>consider</w:t>
      </w:r>
      <w:r w:rsidR="0047157D">
        <w:t xml:space="preserve"> various important factors, including</w:t>
      </w:r>
      <w:r w:rsidR="00246936">
        <w:t xml:space="preserve"> </w:t>
      </w:r>
      <w:r w:rsidR="00570B5E">
        <w:rPr>
          <w:lang w:val="en"/>
        </w:rPr>
        <w:t>the size and volume of each CCR unit, local geology and topography, detailed modeling of site stability, the availability of on-site or off-site landfill space, safety requirements, the compliance deadline, and other site-specific constraints.</w:t>
      </w:r>
      <w:r w:rsidR="007F495A">
        <w:rPr>
          <w:lang w:val="en"/>
        </w:rPr>
        <w:t xml:space="preserve"> </w:t>
      </w:r>
    </w:p>
    <w:p w14:paraId="080FE13C" w14:textId="0A09CCB8" w:rsidR="004B4AE4" w:rsidRDefault="004B4AE4" w:rsidP="009708E3">
      <w:pPr>
        <w:spacing w:after="0" w:line="240" w:lineRule="auto"/>
        <w:jc w:val="center"/>
        <w:rPr>
          <w:lang w:val="en"/>
        </w:rPr>
      </w:pPr>
      <w:r w:rsidRPr="004B4AE4">
        <w:rPr>
          <w:b/>
          <w:bCs/>
          <w:sz w:val="20"/>
          <w:szCs w:val="20"/>
        </w:rPr>
        <w:t xml:space="preserve">Table </w:t>
      </w:r>
      <w:r w:rsidR="001F1799">
        <w:rPr>
          <w:b/>
          <w:bCs/>
          <w:sz w:val="20"/>
          <w:szCs w:val="20"/>
        </w:rPr>
        <w:t>6</w:t>
      </w:r>
      <w:r w:rsidR="002D08B8">
        <w:rPr>
          <w:b/>
          <w:bCs/>
          <w:sz w:val="20"/>
          <w:szCs w:val="20"/>
        </w:rPr>
        <w:t>.</w:t>
      </w:r>
      <w:r w:rsidRPr="004B4AE4">
        <w:rPr>
          <w:b/>
          <w:bCs/>
          <w:sz w:val="20"/>
          <w:szCs w:val="20"/>
        </w:rPr>
        <w:t xml:space="preserve"> Georgia Power CCR Unit Closure Strategies</w:t>
      </w: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170"/>
        <w:gridCol w:w="950"/>
        <w:gridCol w:w="6440"/>
      </w:tblGrid>
      <w:tr w:rsidR="0046420C" w:rsidRPr="00C55815" w14:paraId="6212D5A9" w14:textId="77777777" w:rsidTr="004E60BF">
        <w:trPr>
          <w:trHeight w:val="197"/>
          <w:tblHeader/>
          <w:jc w:val="center"/>
        </w:trPr>
        <w:tc>
          <w:tcPr>
            <w:tcW w:w="1384" w:type="dxa"/>
            <w:shd w:val="clear" w:color="auto" w:fill="E7E6E6" w:themeFill="background2"/>
            <w:vAlign w:val="center"/>
            <w:hideMark/>
          </w:tcPr>
          <w:p w14:paraId="06F5A2B8" w14:textId="77777777" w:rsidR="0046420C" w:rsidRPr="0081189F" w:rsidRDefault="0046420C" w:rsidP="009708E3">
            <w:pPr>
              <w:spacing w:after="0" w:line="240" w:lineRule="auto"/>
              <w:rPr>
                <w:rFonts w:eastAsia="Times New Roman" w:cs="Calibri"/>
                <w:b/>
                <w:color w:val="000000"/>
                <w:sz w:val="20"/>
                <w:szCs w:val="20"/>
              </w:rPr>
            </w:pPr>
            <w:r w:rsidRPr="0081189F">
              <w:rPr>
                <w:rFonts w:eastAsia="Times New Roman" w:cs="Calibri"/>
                <w:b/>
                <w:color w:val="000000"/>
                <w:sz w:val="20"/>
                <w:szCs w:val="20"/>
              </w:rPr>
              <w:t>Facility</w:t>
            </w:r>
          </w:p>
        </w:tc>
        <w:tc>
          <w:tcPr>
            <w:tcW w:w="1170" w:type="dxa"/>
            <w:shd w:val="clear" w:color="auto" w:fill="E7E6E6" w:themeFill="background2"/>
            <w:vAlign w:val="center"/>
            <w:hideMark/>
          </w:tcPr>
          <w:p w14:paraId="187011B6" w14:textId="77777777" w:rsidR="0046420C" w:rsidRPr="0081189F" w:rsidRDefault="0046420C" w:rsidP="002527FE">
            <w:pPr>
              <w:spacing w:after="0" w:line="240" w:lineRule="auto"/>
              <w:jc w:val="center"/>
              <w:rPr>
                <w:rFonts w:eastAsia="Times New Roman" w:cs="Calibri"/>
                <w:b/>
                <w:color w:val="000000"/>
                <w:sz w:val="20"/>
                <w:szCs w:val="20"/>
              </w:rPr>
            </w:pPr>
            <w:r w:rsidRPr="0081189F">
              <w:rPr>
                <w:rFonts w:eastAsia="Times New Roman" w:cs="Calibri"/>
                <w:b/>
                <w:color w:val="000000"/>
                <w:sz w:val="20"/>
                <w:szCs w:val="20"/>
              </w:rPr>
              <w:t>Landfills</w:t>
            </w:r>
          </w:p>
        </w:tc>
        <w:tc>
          <w:tcPr>
            <w:tcW w:w="950" w:type="dxa"/>
            <w:shd w:val="clear" w:color="auto" w:fill="E7E6E6" w:themeFill="background2"/>
            <w:vAlign w:val="center"/>
            <w:hideMark/>
          </w:tcPr>
          <w:p w14:paraId="1E6434AF" w14:textId="77777777" w:rsidR="0046420C" w:rsidRPr="0081189F" w:rsidRDefault="0046420C" w:rsidP="002527FE">
            <w:pPr>
              <w:spacing w:after="0" w:line="240" w:lineRule="auto"/>
              <w:jc w:val="center"/>
              <w:rPr>
                <w:rFonts w:eastAsia="Times New Roman" w:cs="Calibri"/>
                <w:b/>
                <w:color w:val="000000"/>
                <w:sz w:val="20"/>
                <w:szCs w:val="20"/>
              </w:rPr>
            </w:pPr>
            <w:r w:rsidRPr="0081189F">
              <w:rPr>
                <w:rFonts w:eastAsia="Times New Roman" w:cs="Calibri"/>
                <w:b/>
                <w:color w:val="000000"/>
                <w:sz w:val="20"/>
                <w:szCs w:val="20"/>
              </w:rPr>
              <w:t>Ash Ponds</w:t>
            </w:r>
          </w:p>
        </w:tc>
        <w:tc>
          <w:tcPr>
            <w:tcW w:w="6440" w:type="dxa"/>
            <w:shd w:val="clear" w:color="auto" w:fill="E7E6E6" w:themeFill="background2"/>
            <w:noWrap/>
            <w:vAlign w:val="center"/>
            <w:hideMark/>
          </w:tcPr>
          <w:p w14:paraId="0545CE95" w14:textId="77777777" w:rsidR="0046420C" w:rsidRPr="0081189F" w:rsidRDefault="0046420C" w:rsidP="009708E3">
            <w:pPr>
              <w:spacing w:after="0" w:line="240" w:lineRule="auto"/>
              <w:jc w:val="left"/>
              <w:rPr>
                <w:rFonts w:eastAsia="Times New Roman" w:cs="Calibri"/>
                <w:b/>
                <w:color w:val="000000"/>
                <w:sz w:val="20"/>
                <w:szCs w:val="20"/>
              </w:rPr>
            </w:pPr>
            <w:r w:rsidRPr="0081189F">
              <w:rPr>
                <w:rFonts w:eastAsia="Times New Roman" w:cs="Calibri"/>
                <w:b/>
                <w:color w:val="000000" w:themeColor="text1"/>
                <w:sz w:val="20"/>
                <w:szCs w:val="20"/>
              </w:rPr>
              <w:t>Closure Strategy</w:t>
            </w:r>
          </w:p>
        </w:tc>
      </w:tr>
      <w:tr w:rsidR="0046420C" w:rsidRPr="00C55815" w14:paraId="0398FD2A" w14:textId="77777777" w:rsidTr="004E60BF">
        <w:trPr>
          <w:trHeight w:val="854"/>
          <w:jc w:val="center"/>
        </w:trPr>
        <w:tc>
          <w:tcPr>
            <w:tcW w:w="1384" w:type="dxa"/>
            <w:vMerge w:val="restart"/>
            <w:shd w:val="clear" w:color="auto" w:fill="auto"/>
            <w:noWrap/>
            <w:vAlign w:val="center"/>
            <w:hideMark/>
          </w:tcPr>
          <w:p w14:paraId="079BA2B1" w14:textId="77777777" w:rsidR="0046420C" w:rsidRPr="0081189F" w:rsidRDefault="0046420C" w:rsidP="009708E3">
            <w:pPr>
              <w:spacing w:after="0" w:line="240" w:lineRule="auto"/>
              <w:jc w:val="center"/>
              <w:rPr>
                <w:rFonts w:eastAsia="Times New Roman" w:cs="Calibri"/>
              </w:rPr>
            </w:pPr>
            <w:r w:rsidRPr="0081189F">
              <w:rPr>
                <w:rFonts w:eastAsia="Times New Roman" w:cs="Calibri"/>
                <w:sz w:val="20"/>
                <w:szCs w:val="20"/>
              </w:rPr>
              <w:t>Arkwright</w:t>
            </w:r>
          </w:p>
        </w:tc>
        <w:tc>
          <w:tcPr>
            <w:tcW w:w="1170" w:type="dxa"/>
            <w:shd w:val="clear" w:color="auto" w:fill="auto"/>
            <w:vAlign w:val="center"/>
            <w:hideMark/>
          </w:tcPr>
          <w:p w14:paraId="78BD2229" w14:textId="70D5D97D" w:rsidR="0046420C" w:rsidRPr="0081189F" w:rsidRDefault="0046420C" w:rsidP="002527FE">
            <w:pPr>
              <w:spacing w:after="0" w:line="240" w:lineRule="auto"/>
              <w:jc w:val="center"/>
              <w:rPr>
                <w:rFonts w:eastAsia="Times New Roman" w:cs="Calibri"/>
                <w:sz w:val="20"/>
                <w:szCs w:val="20"/>
              </w:rPr>
            </w:pPr>
            <w:r w:rsidRPr="0081189F">
              <w:rPr>
                <w:rFonts w:eastAsia="Times New Roman" w:cs="Calibri"/>
                <w:sz w:val="20"/>
                <w:szCs w:val="20"/>
              </w:rPr>
              <w:t>AP-1 Landfill, AP-2 DAS Landfill, AP-3</w:t>
            </w:r>
            <w:r w:rsidR="00F93CA8" w:rsidRPr="0081189F">
              <w:rPr>
                <w:rFonts w:eastAsia="Times New Roman" w:cs="Calibri"/>
                <w:sz w:val="20"/>
                <w:szCs w:val="20"/>
              </w:rPr>
              <w:t>/</w:t>
            </w:r>
            <w:proofErr w:type="spellStart"/>
            <w:r w:rsidR="00F93CA8" w:rsidRPr="0081189F">
              <w:rPr>
                <w:rFonts w:eastAsia="Times New Roman" w:cs="Calibri"/>
                <w:sz w:val="20"/>
                <w:szCs w:val="20"/>
              </w:rPr>
              <w:t>Monofill</w:t>
            </w:r>
            <w:proofErr w:type="spellEnd"/>
            <w:r w:rsidRPr="0081189F">
              <w:rPr>
                <w:rFonts w:eastAsia="Times New Roman" w:cs="Calibri"/>
                <w:sz w:val="20"/>
                <w:szCs w:val="20"/>
              </w:rPr>
              <w:t xml:space="preserve"> Landfill</w:t>
            </w:r>
          </w:p>
        </w:tc>
        <w:tc>
          <w:tcPr>
            <w:tcW w:w="950" w:type="dxa"/>
            <w:shd w:val="clear" w:color="auto" w:fill="auto"/>
            <w:vAlign w:val="center"/>
            <w:hideMark/>
          </w:tcPr>
          <w:p w14:paraId="0AD47223" w14:textId="5B9C2DCA" w:rsidR="0046420C" w:rsidRPr="0081189F" w:rsidRDefault="0046420C" w:rsidP="002527FE">
            <w:pPr>
              <w:spacing w:after="0" w:line="240" w:lineRule="auto"/>
              <w:jc w:val="center"/>
              <w:rPr>
                <w:rFonts w:eastAsia="Times New Roman" w:cs="Calibri"/>
                <w:sz w:val="20"/>
                <w:szCs w:val="20"/>
              </w:rPr>
            </w:pPr>
          </w:p>
        </w:tc>
        <w:tc>
          <w:tcPr>
            <w:tcW w:w="6440" w:type="dxa"/>
            <w:shd w:val="clear" w:color="auto" w:fill="auto"/>
            <w:vAlign w:val="center"/>
            <w:hideMark/>
          </w:tcPr>
          <w:p w14:paraId="132B6A48" w14:textId="3E29077B" w:rsidR="0046420C" w:rsidRPr="0081189F" w:rsidRDefault="0046420C" w:rsidP="009708E3">
            <w:pPr>
              <w:spacing w:after="0" w:line="240" w:lineRule="auto"/>
              <w:rPr>
                <w:rFonts w:eastAsia="Times New Roman" w:cs="Calibri"/>
                <w:sz w:val="20"/>
                <w:szCs w:val="20"/>
              </w:rPr>
            </w:pPr>
            <w:r w:rsidRPr="0081189F">
              <w:rPr>
                <w:rFonts w:eastAsia="Times New Roman" w:cs="Calibri"/>
                <w:sz w:val="20"/>
                <w:szCs w:val="20"/>
              </w:rPr>
              <w:t>The existing landfills were closed in 2010 under Solid Waste Regulations applicable at the time. Under the Georgia CCR Rule, the existing landfills will be closed by removal</w:t>
            </w:r>
            <w:r w:rsidR="00D31EAF" w:rsidRPr="0081189F">
              <w:rPr>
                <w:rFonts w:eastAsia="Times New Roman" w:cs="Calibri"/>
                <w:sz w:val="20"/>
                <w:szCs w:val="20"/>
              </w:rPr>
              <w:t>. The ash from Plant Arkwright will be trucked to the</w:t>
            </w:r>
            <w:r w:rsidR="007C14B7" w:rsidRPr="0081189F">
              <w:rPr>
                <w:rFonts w:eastAsia="Times New Roman" w:cs="Calibri"/>
                <w:sz w:val="20"/>
                <w:szCs w:val="20"/>
              </w:rPr>
              <w:t xml:space="preserve"> </w:t>
            </w:r>
            <w:r w:rsidR="00A90E22" w:rsidRPr="0081189F">
              <w:rPr>
                <w:rFonts w:eastAsia="Times New Roman" w:cs="Calibri"/>
                <w:sz w:val="20"/>
                <w:szCs w:val="20"/>
              </w:rPr>
              <w:t>permitted landfill at Plant Branch</w:t>
            </w:r>
            <w:r w:rsidR="00835712" w:rsidRPr="0081189F">
              <w:rPr>
                <w:rFonts w:eastAsia="Times New Roman" w:cs="Calibri"/>
                <w:sz w:val="20"/>
                <w:szCs w:val="20"/>
              </w:rPr>
              <w:t xml:space="preserve"> to be screened for marketable ash and processed through the Plant Branch beneficial use facility.</w:t>
            </w:r>
          </w:p>
        </w:tc>
      </w:tr>
      <w:tr w:rsidR="0046420C" w:rsidRPr="00C55815" w14:paraId="1AA8F612" w14:textId="77777777" w:rsidTr="004E60BF">
        <w:trPr>
          <w:trHeight w:val="800"/>
          <w:jc w:val="center"/>
        </w:trPr>
        <w:tc>
          <w:tcPr>
            <w:tcW w:w="1384" w:type="dxa"/>
            <w:vMerge/>
            <w:vAlign w:val="center"/>
            <w:hideMark/>
          </w:tcPr>
          <w:p w14:paraId="1F34DFCB" w14:textId="77777777" w:rsidR="0046420C" w:rsidRPr="0081189F" w:rsidRDefault="0046420C" w:rsidP="00833488">
            <w:pPr>
              <w:rPr>
                <w:rFonts w:eastAsia="Times New Roman" w:cs="Calibri"/>
                <w:color w:val="000000"/>
              </w:rPr>
            </w:pPr>
          </w:p>
        </w:tc>
        <w:tc>
          <w:tcPr>
            <w:tcW w:w="1170" w:type="dxa"/>
            <w:shd w:val="clear" w:color="auto" w:fill="auto"/>
            <w:vAlign w:val="center"/>
            <w:hideMark/>
          </w:tcPr>
          <w:p w14:paraId="4A7A36AD" w14:textId="77777777" w:rsidR="0046420C" w:rsidRPr="0081189F" w:rsidRDefault="0046420C" w:rsidP="002527FE">
            <w:pPr>
              <w:jc w:val="center"/>
              <w:rPr>
                <w:rFonts w:eastAsia="Times New Roman" w:cs="Calibri"/>
                <w:color w:val="000000"/>
                <w:sz w:val="20"/>
                <w:szCs w:val="20"/>
              </w:rPr>
            </w:pPr>
            <w:r w:rsidRPr="0081189F">
              <w:rPr>
                <w:rFonts w:eastAsia="Times New Roman" w:cs="Calibri"/>
                <w:color w:val="000000"/>
                <w:sz w:val="20"/>
                <w:szCs w:val="20"/>
              </w:rPr>
              <w:t>Future LF</w:t>
            </w:r>
          </w:p>
        </w:tc>
        <w:tc>
          <w:tcPr>
            <w:tcW w:w="950" w:type="dxa"/>
            <w:shd w:val="clear" w:color="auto" w:fill="auto"/>
            <w:vAlign w:val="center"/>
            <w:hideMark/>
          </w:tcPr>
          <w:p w14:paraId="4D907313" w14:textId="119583FD" w:rsidR="0046420C" w:rsidRPr="0081189F" w:rsidRDefault="0046420C" w:rsidP="002527FE">
            <w:pPr>
              <w:jc w:val="center"/>
              <w:rPr>
                <w:rFonts w:eastAsia="Times New Roman" w:cs="Calibri"/>
                <w:color w:val="000000"/>
                <w:sz w:val="20"/>
                <w:szCs w:val="20"/>
              </w:rPr>
            </w:pPr>
          </w:p>
        </w:tc>
        <w:tc>
          <w:tcPr>
            <w:tcW w:w="6440" w:type="dxa"/>
            <w:shd w:val="clear" w:color="auto" w:fill="auto"/>
            <w:vAlign w:val="center"/>
            <w:hideMark/>
          </w:tcPr>
          <w:p w14:paraId="399B6CC8" w14:textId="3D704EC2" w:rsidR="0046420C" w:rsidRPr="0081189F" w:rsidRDefault="0046420C" w:rsidP="009708E3">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The future permitted </w:t>
            </w:r>
            <w:r w:rsidR="000514E1" w:rsidRPr="0081189F">
              <w:rPr>
                <w:rFonts w:eastAsia="Times New Roman" w:cs="Calibri"/>
                <w:color w:val="000000"/>
                <w:sz w:val="20"/>
                <w:szCs w:val="20"/>
              </w:rPr>
              <w:t xml:space="preserve">onsite </w:t>
            </w:r>
            <w:r w:rsidRPr="0081189F">
              <w:rPr>
                <w:rFonts w:eastAsia="Times New Roman" w:cs="Calibri"/>
                <w:color w:val="000000"/>
                <w:sz w:val="20"/>
                <w:szCs w:val="20"/>
              </w:rPr>
              <w:t xml:space="preserve">landfill </w:t>
            </w:r>
            <w:r w:rsidR="00E71B98" w:rsidRPr="0081189F">
              <w:rPr>
                <w:rFonts w:eastAsia="Times New Roman" w:cs="Calibri"/>
                <w:color w:val="000000"/>
                <w:sz w:val="20"/>
                <w:szCs w:val="20"/>
              </w:rPr>
              <w:t>has been removed from the current strategy and budget</w:t>
            </w:r>
            <w:r w:rsidR="003110CC" w:rsidRPr="0081189F">
              <w:rPr>
                <w:rFonts w:eastAsia="Times New Roman" w:cs="Calibri"/>
                <w:color w:val="000000"/>
                <w:sz w:val="20"/>
                <w:szCs w:val="20"/>
              </w:rPr>
              <w:t xml:space="preserve"> in lieu of </w:t>
            </w:r>
            <w:r w:rsidR="00453EB2" w:rsidRPr="0081189F">
              <w:rPr>
                <w:rFonts w:eastAsia="Times New Roman" w:cs="Calibri"/>
                <w:color w:val="000000"/>
                <w:sz w:val="20"/>
                <w:szCs w:val="20"/>
              </w:rPr>
              <w:t xml:space="preserve">beneficial use and </w:t>
            </w:r>
            <w:r w:rsidR="003110CC" w:rsidRPr="0081189F">
              <w:rPr>
                <w:rFonts w:eastAsia="Times New Roman" w:cs="Calibri"/>
                <w:color w:val="000000"/>
                <w:sz w:val="20"/>
                <w:szCs w:val="20"/>
              </w:rPr>
              <w:t>off-site disposal at Plant Branch.</w:t>
            </w:r>
          </w:p>
        </w:tc>
      </w:tr>
      <w:tr w:rsidR="00CA16E0" w:rsidRPr="00C55815" w14:paraId="19A230D3" w14:textId="77777777" w:rsidTr="004E60BF">
        <w:trPr>
          <w:trHeight w:val="520"/>
          <w:jc w:val="center"/>
        </w:trPr>
        <w:tc>
          <w:tcPr>
            <w:tcW w:w="1384" w:type="dxa"/>
            <w:vMerge w:val="restart"/>
            <w:shd w:val="clear" w:color="auto" w:fill="auto"/>
            <w:noWrap/>
            <w:vAlign w:val="center"/>
            <w:hideMark/>
          </w:tcPr>
          <w:p w14:paraId="5EF4D9F8" w14:textId="77777777" w:rsidR="0046420C" w:rsidRPr="0081189F" w:rsidRDefault="0046420C" w:rsidP="009708E3">
            <w:pPr>
              <w:spacing w:after="0" w:line="240" w:lineRule="auto"/>
              <w:jc w:val="center"/>
              <w:rPr>
                <w:rFonts w:eastAsia="Times New Roman" w:cs="Calibri"/>
                <w:color w:val="000000"/>
              </w:rPr>
            </w:pPr>
            <w:r w:rsidRPr="0081189F">
              <w:rPr>
                <w:rFonts w:eastAsia="Times New Roman" w:cs="Calibri"/>
                <w:color w:val="000000"/>
                <w:sz w:val="20"/>
                <w:szCs w:val="20"/>
              </w:rPr>
              <w:t>Bowen</w:t>
            </w:r>
          </w:p>
        </w:tc>
        <w:tc>
          <w:tcPr>
            <w:tcW w:w="1170" w:type="dxa"/>
            <w:shd w:val="clear" w:color="auto" w:fill="auto"/>
            <w:vAlign w:val="center"/>
            <w:hideMark/>
          </w:tcPr>
          <w:p w14:paraId="725AD93B" w14:textId="78657E31" w:rsidR="0046420C" w:rsidRPr="0081189F" w:rsidRDefault="0046420C" w:rsidP="002527FE">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224C99FB" w14:textId="77777777" w:rsidR="0046420C" w:rsidRPr="0081189F" w:rsidRDefault="0046420C" w:rsidP="002527FE">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6FBBFB3C" w14:textId="4397E5F5" w:rsidR="0046420C" w:rsidRPr="0081189F" w:rsidRDefault="0046420C" w:rsidP="009708E3">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AP-1 is being closed in place by excavating and consolidating CCR </w:t>
            </w:r>
            <w:r w:rsidRPr="278029D7">
              <w:rPr>
                <w:rFonts w:eastAsia="Calibri" w:cs="Arial"/>
                <w:color w:val="000000" w:themeColor="text1"/>
                <w:sz w:val="20"/>
                <w:szCs w:val="20"/>
              </w:rPr>
              <w:t>into a fully contained engineered structure (composite-lined and final-covered area).</w:t>
            </w:r>
            <w:r w:rsidR="000A63EA">
              <w:rPr>
                <w:rFonts w:eastAsia="Calibri" w:cs="Arial"/>
                <w:color w:val="000000" w:themeColor="text1"/>
                <w:sz w:val="20"/>
                <w:szCs w:val="20"/>
              </w:rPr>
              <w:t xml:space="preserve"> </w:t>
            </w:r>
            <w:r w:rsidR="00822E5F">
              <w:rPr>
                <w:rFonts w:eastAsia="Calibri" w:cs="Arial"/>
                <w:color w:val="000000" w:themeColor="text1"/>
                <w:sz w:val="20"/>
                <w:szCs w:val="20"/>
              </w:rPr>
              <w:t>A</w:t>
            </w:r>
            <w:r w:rsidR="007157DD">
              <w:rPr>
                <w:rFonts w:eastAsia="Calibri" w:cs="Arial"/>
                <w:color w:val="000000" w:themeColor="text1"/>
                <w:sz w:val="20"/>
                <w:szCs w:val="20"/>
              </w:rPr>
              <w:t xml:space="preserve">dditionally, a large portion of the ash is contracted to be processed </w:t>
            </w:r>
            <w:r w:rsidR="0017109B">
              <w:rPr>
                <w:rFonts w:eastAsia="Calibri" w:cs="Arial"/>
                <w:color w:val="000000" w:themeColor="text1"/>
                <w:sz w:val="20"/>
                <w:szCs w:val="20"/>
              </w:rPr>
              <w:t xml:space="preserve">for beneficial use. </w:t>
            </w:r>
          </w:p>
        </w:tc>
      </w:tr>
      <w:tr w:rsidR="009C0421" w:rsidRPr="00C55815" w14:paraId="1DB974C1" w14:textId="77777777" w:rsidTr="004E60BF">
        <w:trPr>
          <w:trHeight w:val="780"/>
          <w:jc w:val="center"/>
        </w:trPr>
        <w:tc>
          <w:tcPr>
            <w:tcW w:w="1384" w:type="dxa"/>
            <w:vMerge/>
            <w:vAlign w:val="center"/>
            <w:hideMark/>
          </w:tcPr>
          <w:p w14:paraId="7E37C439" w14:textId="77777777" w:rsidR="009C0421" w:rsidRPr="0081189F" w:rsidRDefault="009C0421" w:rsidP="00FC2EA3">
            <w:pPr>
              <w:spacing w:before="0" w:after="160"/>
              <w:rPr>
                <w:rFonts w:eastAsia="Times New Roman" w:cs="Calibri"/>
                <w:color w:val="000000"/>
              </w:rPr>
            </w:pPr>
          </w:p>
        </w:tc>
        <w:tc>
          <w:tcPr>
            <w:tcW w:w="1170" w:type="dxa"/>
            <w:shd w:val="clear" w:color="auto" w:fill="auto"/>
            <w:vAlign w:val="center"/>
            <w:hideMark/>
          </w:tcPr>
          <w:p w14:paraId="3C6FBA0A"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w:t>
            </w:r>
          </w:p>
        </w:tc>
        <w:tc>
          <w:tcPr>
            <w:tcW w:w="950" w:type="dxa"/>
            <w:shd w:val="clear" w:color="auto" w:fill="auto"/>
            <w:vAlign w:val="center"/>
            <w:hideMark/>
          </w:tcPr>
          <w:p w14:paraId="2540EAE0" w14:textId="2FF54013"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467F53AA" w14:textId="56AF8C8F"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permitted landfill is to remain active as part of ongoing plant operations and will also support ash pond closure. The landfill will undergo closure when permitted capacity is reached or when CCR disposal is no longer needed. This ECS includes construction of new landfill cells at Plant Bowen to support continued plant operations</w:t>
            </w:r>
            <w:r w:rsidR="009C6AFB" w:rsidRPr="0081189F">
              <w:rPr>
                <w:rFonts w:eastAsia="Times New Roman" w:cs="Calibri"/>
                <w:color w:val="000000"/>
                <w:sz w:val="20"/>
                <w:szCs w:val="20"/>
              </w:rPr>
              <w:t>.</w:t>
            </w:r>
          </w:p>
        </w:tc>
      </w:tr>
      <w:tr w:rsidR="009C0421" w:rsidRPr="00C55815" w14:paraId="2439B7B6" w14:textId="77777777" w:rsidTr="004E60BF">
        <w:trPr>
          <w:trHeight w:val="520"/>
          <w:jc w:val="center"/>
        </w:trPr>
        <w:tc>
          <w:tcPr>
            <w:tcW w:w="1384" w:type="dxa"/>
            <w:vMerge w:val="restart"/>
            <w:shd w:val="clear" w:color="auto" w:fill="auto"/>
            <w:noWrap/>
            <w:vAlign w:val="center"/>
            <w:hideMark/>
          </w:tcPr>
          <w:p w14:paraId="6EC0DB57" w14:textId="31573C38"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Branch</w:t>
            </w:r>
          </w:p>
        </w:tc>
        <w:tc>
          <w:tcPr>
            <w:tcW w:w="1170" w:type="dxa"/>
            <w:shd w:val="clear" w:color="auto" w:fill="auto"/>
            <w:vAlign w:val="center"/>
            <w:hideMark/>
          </w:tcPr>
          <w:p w14:paraId="77AB8087" w14:textId="68A708CC"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096EB8DA"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AP-A</w:t>
            </w:r>
          </w:p>
        </w:tc>
        <w:tc>
          <w:tcPr>
            <w:tcW w:w="6440" w:type="dxa"/>
            <w:shd w:val="clear" w:color="auto" w:fill="auto"/>
            <w:vAlign w:val="center"/>
            <w:hideMark/>
          </w:tcPr>
          <w:p w14:paraId="77B635C5" w14:textId="655D734B"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AP-A was closed by removal and consolidated within AP-E before the Georgia CCR Rule became effective.</w:t>
            </w:r>
            <w:r w:rsidR="007C14B7" w:rsidRPr="0081189F">
              <w:rPr>
                <w:rFonts w:eastAsia="Times New Roman" w:cs="Calibri"/>
                <w:color w:val="000000"/>
                <w:sz w:val="20"/>
                <w:szCs w:val="20"/>
              </w:rPr>
              <w:t xml:space="preserve"> </w:t>
            </w:r>
          </w:p>
        </w:tc>
      </w:tr>
      <w:tr w:rsidR="009C0421" w:rsidRPr="00C55815" w14:paraId="28B1ABCD" w14:textId="77777777" w:rsidTr="004E60BF">
        <w:trPr>
          <w:trHeight w:val="377"/>
          <w:jc w:val="center"/>
        </w:trPr>
        <w:tc>
          <w:tcPr>
            <w:tcW w:w="1384" w:type="dxa"/>
            <w:vMerge/>
            <w:vAlign w:val="center"/>
            <w:hideMark/>
          </w:tcPr>
          <w:p w14:paraId="55497F62" w14:textId="77777777" w:rsidR="009C0421" w:rsidRPr="0081189F" w:rsidRDefault="009C0421" w:rsidP="009C6AFB">
            <w:pPr>
              <w:rPr>
                <w:rFonts w:eastAsia="Times New Roman" w:cs="Calibri"/>
                <w:color w:val="000000"/>
                <w:sz w:val="20"/>
                <w:szCs w:val="20"/>
              </w:rPr>
            </w:pPr>
          </w:p>
        </w:tc>
        <w:tc>
          <w:tcPr>
            <w:tcW w:w="1170" w:type="dxa"/>
            <w:shd w:val="clear" w:color="auto" w:fill="auto"/>
            <w:vAlign w:val="center"/>
            <w:hideMark/>
          </w:tcPr>
          <w:p w14:paraId="7FA8AA44" w14:textId="6B0962A2" w:rsidR="009C0421" w:rsidRPr="0081189F" w:rsidRDefault="009C0421" w:rsidP="009C0421">
            <w:pPr>
              <w:jc w:val="center"/>
              <w:rPr>
                <w:rFonts w:eastAsia="Times New Roman" w:cs="Calibri"/>
                <w:color w:val="000000"/>
                <w:sz w:val="20"/>
                <w:szCs w:val="20"/>
              </w:rPr>
            </w:pPr>
          </w:p>
        </w:tc>
        <w:tc>
          <w:tcPr>
            <w:tcW w:w="950" w:type="dxa"/>
            <w:shd w:val="clear" w:color="auto" w:fill="auto"/>
            <w:vAlign w:val="center"/>
            <w:hideMark/>
          </w:tcPr>
          <w:p w14:paraId="0498E07A"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AP-B, C, D, E</w:t>
            </w:r>
          </w:p>
        </w:tc>
        <w:tc>
          <w:tcPr>
            <w:tcW w:w="6440" w:type="dxa"/>
            <w:shd w:val="clear" w:color="auto" w:fill="auto"/>
            <w:vAlign w:val="center"/>
            <w:hideMark/>
          </w:tcPr>
          <w:p w14:paraId="77E85FD7" w14:textId="00AFFAD9"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AP-B, C, D, &amp; E will be closed by removal to a future permitted on-site landfill. Additionally, a large portion of the ash is contracted to be processed for beneficial use.</w:t>
            </w:r>
            <w:r w:rsidR="007C14B7" w:rsidRPr="0081189F">
              <w:rPr>
                <w:rFonts w:eastAsia="Times New Roman" w:cs="Calibri"/>
                <w:color w:val="000000"/>
                <w:sz w:val="20"/>
                <w:szCs w:val="20"/>
              </w:rPr>
              <w:t xml:space="preserve"> </w:t>
            </w:r>
          </w:p>
        </w:tc>
      </w:tr>
      <w:tr w:rsidR="009C0421" w:rsidRPr="00C55815" w14:paraId="63764782" w14:textId="77777777" w:rsidTr="004E60BF">
        <w:trPr>
          <w:trHeight w:val="780"/>
          <w:jc w:val="center"/>
        </w:trPr>
        <w:tc>
          <w:tcPr>
            <w:tcW w:w="1384" w:type="dxa"/>
            <w:vMerge/>
            <w:vAlign w:val="center"/>
            <w:hideMark/>
          </w:tcPr>
          <w:p w14:paraId="43189224" w14:textId="77777777" w:rsidR="009C0421" w:rsidRPr="0081189F" w:rsidRDefault="009C0421" w:rsidP="00D2033A">
            <w:pPr>
              <w:spacing w:before="0" w:after="160"/>
              <w:rPr>
                <w:rFonts w:eastAsia="Times New Roman" w:cs="Calibri"/>
                <w:color w:val="000000"/>
                <w:sz w:val="20"/>
                <w:szCs w:val="20"/>
              </w:rPr>
            </w:pPr>
          </w:p>
        </w:tc>
        <w:tc>
          <w:tcPr>
            <w:tcW w:w="1170" w:type="dxa"/>
            <w:shd w:val="clear" w:color="auto" w:fill="auto"/>
            <w:vAlign w:val="center"/>
            <w:hideMark/>
          </w:tcPr>
          <w:p w14:paraId="20AB5189"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Future LF</w:t>
            </w:r>
          </w:p>
        </w:tc>
        <w:tc>
          <w:tcPr>
            <w:tcW w:w="950" w:type="dxa"/>
            <w:shd w:val="clear" w:color="auto" w:fill="auto"/>
            <w:vAlign w:val="center"/>
            <w:hideMark/>
          </w:tcPr>
          <w:p w14:paraId="6763C22B" w14:textId="6EA7F776"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791CDDCF" w14:textId="743AF72D"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The permitted landfill is under construction and will support ash pond closures. The landfill will undergo closure when permitted capacity is reached or when CCR disposal is no longer needed. </w:t>
            </w:r>
          </w:p>
        </w:tc>
      </w:tr>
      <w:tr w:rsidR="009C0421" w:rsidRPr="00C55815" w14:paraId="4658FA56" w14:textId="77777777" w:rsidTr="004E60BF">
        <w:trPr>
          <w:trHeight w:val="520"/>
          <w:jc w:val="center"/>
        </w:trPr>
        <w:tc>
          <w:tcPr>
            <w:tcW w:w="1384" w:type="dxa"/>
            <w:vMerge w:val="restart"/>
            <w:shd w:val="clear" w:color="auto" w:fill="auto"/>
            <w:noWrap/>
            <w:vAlign w:val="center"/>
            <w:hideMark/>
          </w:tcPr>
          <w:p w14:paraId="4BA22310"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t>Hammond</w:t>
            </w:r>
          </w:p>
        </w:tc>
        <w:tc>
          <w:tcPr>
            <w:tcW w:w="1170" w:type="dxa"/>
            <w:shd w:val="clear" w:color="auto" w:fill="auto"/>
            <w:vAlign w:val="center"/>
            <w:hideMark/>
          </w:tcPr>
          <w:p w14:paraId="2627F8AD" w14:textId="6219C999"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667BD2D9"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 AP-2</w:t>
            </w:r>
          </w:p>
        </w:tc>
        <w:tc>
          <w:tcPr>
            <w:tcW w:w="6440" w:type="dxa"/>
            <w:shd w:val="clear" w:color="auto" w:fill="auto"/>
            <w:vAlign w:val="center"/>
            <w:hideMark/>
          </w:tcPr>
          <w:p w14:paraId="3754AC0B" w14:textId="77777777"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AP-1 and AP-2 are being closed by removal to a Company-owned off-site permitted landfill (Huffaker Road).</w:t>
            </w:r>
          </w:p>
        </w:tc>
      </w:tr>
      <w:tr w:rsidR="009C0421" w:rsidRPr="00C55815" w14:paraId="302507FF" w14:textId="77777777" w:rsidTr="004E60BF">
        <w:trPr>
          <w:trHeight w:val="1016"/>
          <w:jc w:val="center"/>
        </w:trPr>
        <w:tc>
          <w:tcPr>
            <w:tcW w:w="1384" w:type="dxa"/>
            <w:vMerge/>
            <w:vAlign w:val="center"/>
            <w:hideMark/>
          </w:tcPr>
          <w:p w14:paraId="5E889500" w14:textId="77777777" w:rsidR="009C0421" w:rsidRPr="0081189F" w:rsidRDefault="009C0421" w:rsidP="00D2033A">
            <w:pPr>
              <w:spacing w:before="0" w:after="160"/>
              <w:rPr>
                <w:rFonts w:eastAsia="Times New Roman" w:cs="Calibri"/>
                <w:color w:val="000000"/>
              </w:rPr>
            </w:pPr>
          </w:p>
        </w:tc>
        <w:tc>
          <w:tcPr>
            <w:tcW w:w="1170" w:type="dxa"/>
            <w:shd w:val="clear" w:color="auto" w:fill="auto"/>
            <w:vAlign w:val="center"/>
            <w:hideMark/>
          </w:tcPr>
          <w:p w14:paraId="38C90016" w14:textId="1257F064" w:rsidR="009C0421" w:rsidRPr="0081189F" w:rsidRDefault="009C0421" w:rsidP="009C0421">
            <w:pPr>
              <w:jc w:val="center"/>
              <w:rPr>
                <w:rFonts w:eastAsia="Times New Roman" w:cs="Calibri"/>
                <w:color w:val="000000"/>
                <w:sz w:val="20"/>
                <w:szCs w:val="20"/>
              </w:rPr>
            </w:pPr>
          </w:p>
        </w:tc>
        <w:tc>
          <w:tcPr>
            <w:tcW w:w="950" w:type="dxa"/>
            <w:shd w:val="clear" w:color="auto" w:fill="auto"/>
            <w:vAlign w:val="center"/>
            <w:hideMark/>
          </w:tcPr>
          <w:p w14:paraId="121512BA"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AP-3</w:t>
            </w:r>
          </w:p>
        </w:tc>
        <w:tc>
          <w:tcPr>
            <w:tcW w:w="6440" w:type="dxa"/>
            <w:shd w:val="clear" w:color="auto" w:fill="auto"/>
            <w:vAlign w:val="center"/>
            <w:hideMark/>
          </w:tcPr>
          <w:p w14:paraId="4D7C2F07" w14:textId="18A55AF9" w:rsidR="009C0421" w:rsidRPr="0081189F" w:rsidRDefault="6D166B7B" w:rsidP="009C0421">
            <w:pPr>
              <w:spacing w:after="0" w:line="240" w:lineRule="auto"/>
              <w:rPr>
                <w:rFonts w:eastAsia="Times New Roman" w:cs="Calibri"/>
                <w:color w:val="000000"/>
                <w:sz w:val="20"/>
                <w:szCs w:val="20"/>
              </w:rPr>
            </w:pPr>
            <w:r w:rsidRPr="0081189F">
              <w:rPr>
                <w:rFonts w:eastAsia="Times New Roman" w:cs="Calibri"/>
                <w:color w:val="000000" w:themeColor="text1"/>
                <w:sz w:val="20"/>
                <w:szCs w:val="20"/>
              </w:rPr>
              <w:t xml:space="preserve">AP-3 has been closed in place with an engineered impermeable cap-cover system. Consistent with the post-closure plan, a </w:t>
            </w:r>
            <w:proofErr w:type="spellStart"/>
            <w:r w:rsidRPr="0081189F">
              <w:rPr>
                <w:rFonts w:eastAsia="Times New Roman" w:cs="Calibri"/>
                <w:color w:val="000000" w:themeColor="text1"/>
                <w:sz w:val="20"/>
                <w:szCs w:val="20"/>
              </w:rPr>
              <w:t>TreeWell</w:t>
            </w:r>
            <w:proofErr w:type="spellEnd"/>
            <w:r w:rsidRPr="0081189F">
              <w:rPr>
                <w:rFonts w:eastAsia="Times New Roman" w:cs="Calibri"/>
                <w:color w:val="000000" w:themeColor="text1"/>
                <w:sz w:val="20"/>
                <w:szCs w:val="20"/>
              </w:rPr>
              <w:t>® system has been installed, in accordance with the CCR permit conditions, outside and downgradient of the CCR footprint.</w:t>
            </w:r>
          </w:p>
        </w:tc>
      </w:tr>
      <w:tr w:rsidR="009C0421" w:rsidRPr="00C55815" w14:paraId="1F3BC37D" w14:textId="77777777" w:rsidTr="004E60BF">
        <w:trPr>
          <w:trHeight w:val="557"/>
          <w:jc w:val="center"/>
        </w:trPr>
        <w:tc>
          <w:tcPr>
            <w:tcW w:w="1384" w:type="dxa"/>
            <w:vMerge/>
            <w:vAlign w:val="center"/>
            <w:hideMark/>
          </w:tcPr>
          <w:p w14:paraId="17B07D0F" w14:textId="77777777" w:rsidR="009C0421" w:rsidRPr="0081189F" w:rsidRDefault="009C0421" w:rsidP="009C6AFB">
            <w:pPr>
              <w:rPr>
                <w:rFonts w:eastAsia="Times New Roman" w:cs="Calibri"/>
                <w:color w:val="000000"/>
              </w:rPr>
            </w:pPr>
          </w:p>
        </w:tc>
        <w:tc>
          <w:tcPr>
            <w:tcW w:w="1170" w:type="dxa"/>
            <w:shd w:val="clear" w:color="auto" w:fill="auto"/>
            <w:vAlign w:val="center"/>
            <w:hideMark/>
          </w:tcPr>
          <w:p w14:paraId="68BA5D7F" w14:textId="52ADDED4" w:rsidR="009C0421" w:rsidRPr="0081189F" w:rsidRDefault="009C0421" w:rsidP="009C0421">
            <w:pPr>
              <w:jc w:val="center"/>
              <w:rPr>
                <w:rFonts w:eastAsia="Times New Roman" w:cs="Calibri"/>
                <w:color w:val="000000"/>
                <w:sz w:val="20"/>
                <w:szCs w:val="20"/>
              </w:rPr>
            </w:pPr>
          </w:p>
        </w:tc>
        <w:tc>
          <w:tcPr>
            <w:tcW w:w="950" w:type="dxa"/>
            <w:shd w:val="clear" w:color="auto" w:fill="auto"/>
            <w:vAlign w:val="center"/>
            <w:hideMark/>
          </w:tcPr>
          <w:p w14:paraId="50A1C20E"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AP-4</w:t>
            </w:r>
          </w:p>
        </w:tc>
        <w:tc>
          <w:tcPr>
            <w:tcW w:w="6440" w:type="dxa"/>
            <w:shd w:val="clear" w:color="auto" w:fill="auto"/>
            <w:vAlign w:val="center"/>
            <w:hideMark/>
          </w:tcPr>
          <w:p w14:paraId="689E62A8" w14:textId="7859F702"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AP-4 will be closed by removal to a Company-owned off-site permitted landfill (Huffaker Road).</w:t>
            </w:r>
            <w:r w:rsidR="007C14B7" w:rsidRPr="0081189F">
              <w:rPr>
                <w:rFonts w:eastAsia="Times New Roman" w:cs="Calibri"/>
                <w:color w:val="000000"/>
                <w:sz w:val="20"/>
                <w:szCs w:val="20"/>
              </w:rPr>
              <w:t xml:space="preserve"> </w:t>
            </w:r>
          </w:p>
        </w:tc>
      </w:tr>
      <w:tr w:rsidR="009C0421" w:rsidRPr="00C55815" w14:paraId="30D2663B" w14:textId="77777777" w:rsidTr="004E60BF">
        <w:trPr>
          <w:trHeight w:val="780"/>
          <w:jc w:val="center"/>
        </w:trPr>
        <w:tc>
          <w:tcPr>
            <w:tcW w:w="1384" w:type="dxa"/>
            <w:vMerge/>
            <w:vAlign w:val="center"/>
            <w:hideMark/>
          </w:tcPr>
          <w:p w14:paraId="52C760EF" w14:textId="77777777" w:rsidR="009C0421" w:rsidRPr="0081189F" w:rsidRDefault="009C0421" w:rsidP="009C6AFB">
            <w:pPr>
              <w:rPr>
                <w:rFonts w:eastAsia="Times New Roman" w:cs="Calibri"/>
                <w:color w:val="000000"/>
              </w:rPr>
            </w:pPr>
          </w:p>
        </w:tc>
        <w:tc>
          <w:tcPr>
            <w:tcW w:w="1170" w:type="dxa"/>
            <w:shd w:val="clear" w:color="auto" w:fill="auto"/>
            <w:vAlign w:val="center"/>
            <w:hideMark/>
          </w:tcPr>
          <w:p w14:paraId="45DE9873"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Huffaker Rd</w:t>
            </w:r>
          </w:p>
        </w:tc>
        <w:tc>
          <w:tcPr>
            <w:tcW w:w="950" w:type="dxa"/>
            <w:shd w:val="clear" w:color="auto" w:fill="auto"/>
            <w:vAlign w:val="center"/>
            <w:hideMark/>
          </w:tcPr>
          <w:p w14:paraId="078B55A3" w14:textId="3CCD4C8C"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07610A3C" w14:textId="35249A9D"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permitted landfill will be expanded and then closed when permitted capacity is reached or when CCR disposal is no longer needed.</w:t>
            </w:r>
            <w:r w:rsidR="007C14B7" w:rsidRPr="0081189F">
              <w:rPr>
                <w:rFonts w:eastAsia="Times New Roman" w:cs="Calibri"/>
                <w:color w:val="000000"/>
                <w:sz w:val="20"/>
                <w:szCs w:val="20"/>
              </w:rPr>
              <w:t xml:space="preserve"> </w:t>
            </w:r>
          </w:p>
        </w:tc>
      </w:tr>
      <w:tr w:rsidR="009C0421" w:rsidRPr="00C55815" w14:paraId="71E17402" w14:textId="77777777" w:rsidTr="004E60BF">
        <w:trPr>
          <w:trHeight w:val="908"/>
          <w:jc w:val="center"/>
        </w:trPr>
        <w:tc>
          <w:tcPr>
            <w:tcW w:w="1384" w:type="dxa"/>
            <w:vMerge w:val="restart"/>
            <w:shd w:val="clear" w:color="auto" w:fill="auto"/>
            <w:noWrap/>
            <w:vAlign w:val="center"/>
            <w:hideMark/>
          </w:tcPr>
          <w:p w14:paraId="12A8B563"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t>Kraft</w:t>
            </w:r>
          </w:p>
        </w:tc>
        <w:tc>
          <w:tcPr>
            <w:tcW w:w="1170" w:type="dxa"/>
            <w:shd w:val="clear" w:color="auto" w:fill="auto"/>
            <w:vAlign w:val="center"/>
            <w:hideMark/>
          </w:tcPr>
          <w:p w14:paraId="6D43432C" w14:textId="734A5530"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4874CF44"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44404D47" w14:textId="137A96D2" w:rsidR="009C0421" w:rsidRPr="0081189F" w:rsidRDefault="009C0421" w:rsidP="00696B3A">
            <w:pPr>
              <w:spacing w:after="0" w:line="240" w:lineRule="auto"/>
              <w:rPr>
                <w:rFonts w:eastAsia="Times New Roman" w:cs="Calibri"/>
                <w:color w:val="000000"/>
                <w:sz w:val="20"/>
                <w:szCs w:val="20"/>
              </w:rPr>
            </w:pPr>
            <w:r w:rsidRPr="4F993F47">
              <w:rPr>
                <w:rFonts w:eastAsia="Times New Roman" w:cs="Calibri"/>
                <w:color w:val="000000" w:themeColor="text1"/>
                <w:sz w:val="20"/>
                <w:szCs w:val="20"/>
              </w:rPr>
              <w:t>AP-1 was closed by removal to offsite permitted landfills prior to the Georgia CCR Rule. The removal was part of an expanded plant retirement project and was regulated by Georgia EPD’s Response and Remediation Program.</w:t>
            </w:r>
            <w:r w:rsidR="007C14B7" w:rsidRPr="4F993F47">
              <w:rPr>
                <w:rFonts w:eastAsia="Times New Roman" w:cs="Calibri"/>
                <w:color w:val="000000" w:themeColor="text1"/>
                <w:sz w:val="20"/>
                <w:szCs w:val="20"/>
              </w:rPr>
              <w:t xml:space="preserve"> </w:t>
            </w:r>
            <w:r w:rsidRPr="000C0B5E">
              <w:rPr>
                <w:rFonts w:eastAsia="Times New Roman" w:cs="Calibri"/>
                <w:color w:val="000000" w:themeColor="text1"/>
                <w:sz w:val="20"/>
                <w:szCs w:val="20"/>
              </w:rPr>
              <w:t xml:space="preserve">The parcel containing AP-1 is owned by Georgia Ports Authority </w:t>
            </w:r>
            <w:r w:rsidR="1610CA12" w:rsidRPr="000C0B5E">
              <w:rPr>
                <w:rFonts w:eastAsia="Times New Roman" w:cs="Calibri"/>
                <w:color w:val="000000" w:themeColor="text1"/>
                <w:sz w:val="20"/>
                <w:szCs w:val="20"/>
              </w:rPr>
              <w:t>but operated by Georgia Power for purposes of the Legacy Impoundment Rule</w:t>
            </w:r>
            <w:r w:rsidR="69F58861" w:rsidRPr="000C0B5E">
              <w:rPr>
                <w:rFonts w:eastAsia="Times New Roman" w:cs="Calibri"/>
                <w:color w:val="000000" w:themeColor="text1"/>
                <w:sz w:val="20"/>
                <w:szCs w:val="20"/>
              </w:rPr>
              <w:t>.</w:t>
            </w:r>
          </w:p>
        </w:tc>
      </w:tr>
      <w:tr w:rsidR="009C0421" w:rsidRPr="00C55815" w14:paraId="2DE9555A" w14:textId="77777777" w:rsidTr="004E60BF">
        <w:trPr>
          <w:trHeight w:val="305"/>
          <w:jc w:val="center"/>
        </w:trPr>
        <w:tc>
          <w:tcPr>
            <w:tcW w:w="1384" w:type="dxa"/>
            <w:vMerge/>
            <w:vAlign w:val="center"/>
            <w:hideMark/>
          </w:tcPr>
          <w:p w14:paraId="712C5B0C" w14:textId="77777777" w:rsidR="009C0421" w:rsidRPr="0081189F" w:rsidRDefault="009C0421" w:rsidP="00C35BF6">
            <w:pPr>
              <w:rPr>
                <w:rFonts w:eastAsia="Times New Roman" w:cs="Calibri"/>
                <w:color w:val="000000"/>
              </w:rPr>
            </w:pPr>
          </w:p>
        </w:tc>
        <w:tc>
          <w:tcPr>
            <w:tcW w:w="1170" w:type="dxa"/>
            <w:shd w:val="clear" w:color="auto" w:fill="auto"/>
            <w:vAlign w:val="center"/>
            <w:hideMark/>
          </w:tcPr>
          <w:p w14:paraId="4DADD1F8"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Grumman Rd</w:t>
            </w:r>
          </w:p>
        </w:tc>
        <w:tc>
          <w:tcPr>
            <w:tcW w:w="950" w:type="dxa"/>
            <w:shd w:val="clear" w:color="auto" w:fill="auto"/>
            <w:vAlign w:val="center"/>
            <w:hideMark/>
          </w:tcPr>
          <w:p w14:paraId="205D059E" w14:textId="2AFE793E"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2BAD2ECE" w14:textId="202BE63C"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The landfill was closed in accordance with its current landfill permit requirements. Permitting for closure under the Georgia CCR regulations is ongoing. </w:t>
            </w:r>
          </w:p>
        </w:tc>
      </w:tr>
      <w:tr w:rsidR="009C0421" w:rsidRPr="00C55815" w14:paraId="49968AAE" w14:textId="77777777" w:rsidTr="004E60BF">
        <w:trPr>
          <w:trHeight w:val="305"/>
          <w:jc w:val="center"/>
        </w:trPr>
        <w:tc>
          <w:tcPr>
            <w:tcW w:w="1384" w:type="dxa"/>
            <w:vMerge w:val="restart"/>
            <w:tcBorders>
              <w:top w:val="single" w:sz="4" w:space="0" w:color="auto"/>
              <w:left w:val="single" w:sz="4" w:space="0" w:color="auto"/>
              <w:right w:val="single" w:sz="4" w:space="0" w:color="auto"/>
            </w:tcBorders>
            <w:shd w:val="clear" w:color="auto" w:fill="auto"/>
            <w:vAlign w:val="center"/>
          </w:tcPr>
          <w:p w14:paraId="6B7C203B" w14:textId="77777777" w:rsidR="009C0421" w:rsidRPr="0081189F" w:rsidRDefault="009C0421" w:rsidP="009C0421">
            <w:pPr>
              <w:spacing w:after="0" w:line="240" w:lineRule="auto"/>
              <w:jc w:val="left"/>
              <w:rPr>
                <w:rFonts w:eastAsia="Times New Roman" w:cs="Calibri"/>
                <w:color w:val="000000"/>
                <w:sz w:val="20"/>
                <w:szCs w:val="20"/>
              </w:rPr>
            </w:pPr>
            <w:r w:rsidRPr="0081189F">
              <w:rPr>
                <w:rFonts w:eastAsia="Times New Roman" w:cs="Calibri"/>
                <w:color w:val="000000"/>
                <w:sz w:val="20"/>
                <w:szCs w:val="20"/>
              </w:rPr>
              <w:t>McDonough</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3ED5CAA" w14:textId="05B2FB0B" w:rsidR="009C0421" w:rsidRPr="0081189F" w:rsidRDefault="009C0421" w:rsidP="009C0421">
            <w:pPr>
              <w:spacing w:after="0" w:line="240" w:lineRule="auto"/>
              <w:jc w:val="center"/>
              <w:rPr>
                <w:rFonts w:eastAsia="Times New Roman" w:cs="Calibri"/>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14:paraId="1408A886"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center"/>
          </w:tcPr>
          <w:p w14:paraId="2B35CA16" w14:textId="687F7E38"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AP-1 was largely closed in place with installation of a geosynthetic cap cover system in 2017, consistent with the closure plans, the installation of a fully encompassing barrier wall is planned following final design approval through permit issuance. </w:t>
            </w:r>
          </w:p>
        </w:tc>
      </w:tr>
      <w:tr w:rsidR="009C0421" w:rsidRPr="00C55815" w14:paraId="306C0FA4" w14:textId="77777777" w:rsidTr="004E60BF">
        <w:trPr>
          <w:trHeight w:val="305"/>
          <w:jc w:val="center"/>
        </w:trPr>
        <w:tc>
          <w:tcPr>
            <w:tcW w:w="1384" w:type="dxa"/>
            <w:vMerge/>
            <w:vAlign w:val="center"/>
          </w:tcPr>
          <w:p w14:paraId="2F530323" w14:textId="77777777" w:rsidR="009C0421" w:rsidRPr="0081189F" w:rsidRDefault="009C0421" w:rsidP="00C35BF6">
            <w:pPr>
              <w:rPr>
                <w:rFonts w:eastAsia="Times New Roman" w:cs="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EAC2BF6" w14:textId="3E5577FD" w:rsidR="009C0421" w:rsidRPr="0081189F" w:rsidRDefault="009C0421" w:rsidP="009C0421">
            <w:pPr>
              <w:jc w:val="center"/>
              <w:rPr>
                <w:rFonts w:eastAsia="Times New Roman" w:cs="Calibri"/>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14:paraId="4E1F3277"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AP-2</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center"/>
          </w:tcPr>
          <w:p w14:paraId="1DDFDE9E" w14:textId="1EFBB4D3"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AP-2 has been removed and the CCR consolidated with AP-1</w:t>
            </w:r>
            <w:r w:rsidR="00951D81" w:rsidRPr="0081189F">
              <w:rPr>
                <w:rFonts w:eastAsia="Times New Roman" w:cs="Calibri"/>
                <w:color w:val="000000"/>
                <w:sz w:val="20"/>
                <w:szCs w:val="20"/>
              </w:rPr>
              <w:t>,</w:t>
            </w:r>
            <w:r w:rsidRPr="0081189F">
              <w:rPr>
                <w:rFonts w:eastAsia="Times New Roman" w:cs="Calibri"/>
                <w:color w:val="000000"/>
                <w:sz w:val="20"/>
                <w:szCs w:val="20"/>
              </w:rPr>
              <w:t xml:space="preserve"> AP-3</w:t>
            </w:r>
            <w:r w:rsidR="00951D81" w:rsidRPr="0081189F">
              <w:rPr>
                <w:rFonts w:eastAsia="Times New Roman" w:cs="Calibri"/>
                <w:color w:val="000000"/>
                <w:sz w:val="20"/>
                <w:szCs w:val="20"/>
              </w:rPr>
              <w:t>, and</w:t>
            </w:r>
            <w:r w:rsidR="00F27689" w:rsidRPr="0081189F">
              <w:rPr>
                <w:rFonts w:eastAsia="Times New Roman" w:cs="Calibri"/>
                <w:color w:val="000000"/>
                <w:sz w:val="20"/>
                <w:szCs w:val="20"/>
              </w:rPr>
              <w:t xml:space="preserve"> AP-</w:t>
            </w:r>
            <w:r w:rsidRPr="0081189F">
              <w:rPr>
                <w:rFonts w:eastAsia="Times New Roman" w:cs="Calibri"/>
                <w:color w:val="000000"/>
                <w:sz w:val="20"/>
                <w:szCs w:val="20"/>
              </w:rPr>
              <w:t xml:space="preserve">4. </w:t>
            </w:r>
          </w:p>
        </w:tc>
      </w:tr>
      <w:tr w:rsidR="009C0421" w:rsidRPr="00C55815" w14:paraId="29677D70" w14:textId="77777777" w:rsidTr="004E60BF">
        <w:trPr>
          <w:trHeight w:val="305"/>
          <w:jc w:val="center"/>
        </w:trPr>
        <w:tc>
          <w:tcPr>
            <w:tcW w:w="1384" w:type="dxa"/>
            <w:tcBorders>
              <w:left w:val="single" w:sz="4" w:space="0" w:color="auto"/>
              <w:bottom w:val="single" w:sz="4" w:space="0" w:color="auto"/>
              <w:right w:val="single" w:sz="4" w:space="0" w:color="auto"/>
            </w:tcBorders>
            <w:shd w:val="clear" w:color="auto" w:fill="auto"/>
            <w:vAlign w:val="center"/>
          </w:tcPr>
          <w:p w14:paraId="3CA0E1EB" w14:textId="66B402C5" w:rsidR="009C0421" w:rsidRPr="0081189F" w:rsidRDefault="009C0421" w:rsidP="009C0421">
            <w:pPr>
              <w:spacing w:after="0" w:line="240" w:lineRule="auto"/>
              <w:jc w:val="left"/>
              <w:rPr>
                <w:rFonts w:eastAsia="Times New Roman" w:cs="Calibri"/>
                <w:color w:val="000000"/>
              </w:rPr>
            </w:pPr>
            <w:r w:rsidRPr="0081189F">
              <w:rPr>
                <w:rFonts w:eastAsia="Times New Roman" w:cs="Calibri"/>
                <w:color w:val="000000"/>
                <w:sz w:val="20"/>
                <w:szCs w:val="20"/>
              </w:rPr>
              <w:t>McDonough</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307B7F6" w14:textId="6FE8F814" w:rsidR="009C0421" w:rsidRPr="0081189F" w:rsidRDefault="009C0421" w:rsidP="009C0421">
            <w:pPr>
              <w:spacing w:after="0" w:line="240" w:lineRule="auto"/>
              <w:jc w:val="center"/>
              <w:rPr>
                <w:rFonts w:eastAsia="Times New Roman" w:cs="Calibri"/>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14:paraId="5A2905B3"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AP-3 &amp; AP-4</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center"/>
          </w:tcPr>
          <w:p w14:paraId="72CC79BF" w14:textId="6DE3E949"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AP-3 </w:t>
            </w:r>
            <w:r w:rsidR="00951D81" w:rsidRPr="0081189F">
              <w:rPr>
                <w:rFonts w:eastAsia="Times New Roman" w:cs="Calibri"/>
                <w:color w:val="000000"/>
                <w:sz w:val="20"/>
                <w:szCs w:val="20"/>
              </w:rPr>
              <w:t>and</w:t>
            </w:r>
            <w:r w:rsidRPr="0081189F">
              <w:rPr>
                <w:rFonts w:eastAsia="Times New Roman" w:cs="Calibri"/>
                <w:color w:val="000000"/>
                <w:sz w:val="20"/>
                <w:szCs w:val="20"/>
              </w:rPr>
              <w:t xml:space="preserve"> AP-4 are being consolidated and closed in place with an engineered impermeable cap-cover system. Consistent with closure </w:t>
            </w:r>
            <w:r w:rsidRPr="0081189F">
              <w:rPr>
                <w:rFonts w:eastAsia="Times New Roman" w:cs="Calibri"/>
                <w:color w:val="000000"/>
                <w:sz w:val="20"/>
                <w:szCs w:val="20"/>
              </w:rPr>
              <w:lastRenderedPageBreak/>
              <w:t xml:space="preserve">plans, closure construction includes an </w:t>
            </w:r>
            <w:proofErr w:type="spellStart"/>
            <w:r w:rsidRPr="0081189F">
              <w:rPr>
                <w:rFonts w:eastAsia="Times New Roman" w:cs="Calibri"/>
                <w:color w:val="000000"/>
                <w:sz w:val="20"/>
                <w:szCs w:val="20"/>
              </w:rPr>
              <w:t>underslope</w:t>
            </w:r>
            <w:proofErr w:type="spellEnd"/>
            <w:r w:rsidRPr="0081189F">
              <w:rPr>
                <w:rFonts w:eastAsia="Times New Roman" w:cs="Calibri"/>
                <w:color w:val="000000"/>
                <w:sz w:val="20"/>
                <w:szCs w:val="20"/>
              </w:rPr>
              <w:t xml:space="preserve"> drainage system and the continued interim use of pumping wells. </w:t>
            </w:r>
          </w:p>
        </w:tc>
      </w:tr>
      <w:tr w:rsidR="009C0421" w:rsidRPr="00C55815" w14:paraId="7B7CBF06" w14:textId="77777777" w:rsidTr="004E60BF">
        <w:trPr>
          <w:trHeight w:val="520"/>
          <w:jc w:val="center"/>
        </w:trPr>
        <w:tc>
          <w:tcPr>
            <w:tcW w:w="1384" w:type="dxa"/>
            <w:vMerge w:val="restart"/>
            <w:shd w:val="clear" w:color="auto" w:fill="auto"/>
            <w:noWrap/>
            <w:vAlign w:val="center"/>
            <w:hideMark/>
          </w:tcPr>
          <w:p w14:paraId="760E6444"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lastRenderedPageBreak/>
              <w:t>McIntosh</w:t>
            </w:r>
          </w:p>
        </w:tc>
        <w:tc>
          <w:tcPr>
            <w:tcW w:w="1170" w:type="dxa"/>
            <w:shd w:val="clear" w:color="auto" w:fill="auto"/>
            <w:vAlign w:val="center"/>
            <w:hideMark/>
          </w:tcPr>
          <w:p w14:paraId="21297732" w14:textId="578208EE"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4ECE819F"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634F7D09" w14:textId="0FA92A53"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AP-1 has been closed by removal with CCR placed in a permitted on-site landfill. </w:t>
            </w:r>
          </w:p>
        </w:tc>
      </w:tr>
      <w:tr w:rsidR="009C0421" w:rsidRPr="00C55815" w14:paraId="21D13F39" w14:textId="77777777" w:rsidTr="004E60BF">
        <w:trPr>
          <w:trHeight w:val="520"/>
          <w:jc w:val="center"/>
        </w:trPr>
        <w:tc>
          <w:tcPr>
            <w:tcW w:w="1384" w:type="dxa"/>
            <w:vMerge/>
            <w:vAlign w:val="center"/>
            <w:hideMark/>
          </w:tcPr>
          <w:p w14:paraId="7BB93393" w14:textId="77777777" w:rsidR="009C0421" w:rsidRPr="0081189F" w:rsidRDefault="009C0421" w:rsidP="00C35BF6">
            <w:pPr>
              <w:rPr>
                <w:rFonts w:eastAsia="Times New Roman" w:cs="Calibri"/>
                <w:color w:val="000000"/>
              </w:rPr>
            </w:pPr>
          </w:p>
        </w:tc>
        <w:tc>
          <w:tcPr>
            <w:tcW w:w="1170" w:type="dxa"/>
            <w:shd w:val="clear" w:color="auto" w:fill="auto"/>
            <w:vAlign w:val="center"/>
            <w:hideMark/>
          </w:tcPr>
          <w:p w14:paraId="0AFC8BE9"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LF3</w:t>
            </w:r>
          </w:p>
        </w:tc>
        <w:tc>
          <w:tcPr>
            <w:tcW w:w="950" w:type="dxa"/>
            <w:shd w:val="clear" w:color="auto" w:fill="auto"/>
            <w:vAlign w:val="center"/>
            <w:hideMark/>
          </w:tcPr>
          <w:p w14:paraId="159026B7" w14:textId="7F7E05F4"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5629EF61" w14:textId="2FFF8003"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landfill was closed in accordance with the landfill permit in 2008.</w:t>
            </w:r>
          </w:p>
        </w:tc>
      </w:tr>
      <w:tr w:rsidR="009C0421" w:rsidRPr="00C55815" w14:paraId="145C0200" w14:textId="77777777" w:rsidTr="004E60BF">
        <w:trPr>
          <w:trHeight w:val="476"/>
          <w:jc w:val="center"/>
        </w:trPr>
        <w:tc>
          <w:tcPr>
            <w:tcW w:w="1384" w:type="dxa"/>
            <w:vMerge/>
            <w:vAlign w:val="center"/>
            <w:hideMark/>
          </w:tcPr>
          <w:p w14:paraId="73731F28" w14:textId="77777777" w:rsidR="009C0421" w:rsidRPr="0081189F" w:rsidRDefault="009C0421" w:rsidP="00C35BF6">
            <w:pPr>
              <w:rPr>
                <w:rFonts w:eastAsia="Times New Roman" w:cs="Calibri"/>
                <w:color w:val="000000"/>
              </w:rPr>
            </w:pPr>
          </w:p>
        </w:tc>
        <w:tc>
          <w:tcPr>
            <w:tcW w:w="1170" w:type="dxa"/>
            <w:shd w:val="clear" w:color="auto" w:fill="auto"/>
            <w:vAlign w:val="center"/>
            <w:hideMark/>
          </w:tcPr>
          <w:p w14:paraId="227F3D3D"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LF4</w:t>
            </w:r>
          </w:p>
        </w:tc>
        <w:tc>
          <w:tcPr>
            <w:tcW w:w="950" w:type="dxa"/>
            <w:shd w:val="clear" w:color="auto" w:fill="auto"/>
            <w:vAlign w:val="center"/>
            <w:hideMark/>
          </w:tcPr>
          <w:p w14:paraId="065D22CF" w14:textId="20B757F4"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3E0D03EA" w14:textId="55CCFB3C"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permitted landfill is permitted to receive CCR as needed. The landfill will undergo final closure when CCR disposal is no longer needed.</w:t>
            </w:r>
          </w:p>
        </w:tc>
      </w:tr>
      <w:tr w:rsidR="009C0421" w:rsidRPr="00C55815" w14:paraId="332F8CB7" w14:textId="77777777" w:rsidTr="004E60BF">
        <w:trPr>
          <w:trHeight w:val="520"/>
          <w:jc w:val="center"/>
        </w:trPr>
        <w:tc>
          <w:tcPr>
            <w:tcW w:w="1384" w:type="dxa"/>
            <w:shd w:val="clear" w:color="auto" w:fill="auto"/>
            <w:noWrap/>
            <w:vAlign w:val="center"/>
            <w:hideMark/>
          </w:tcPr>
          <w:p w14:paraId="28C5733F"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t>McManus</w:t>
            </w:r>
          </w:p>
        </w:tc>
        <w:tc>
          <w:tcPr>
            <w:tcW w:w="1170" w:type="dxa"/>
            <w:shd w:val="clear" w:color="auto" w:fill="auto"/>
            <w:vAlign w:val="center"/>
            <w:hideMark/>
          </w:tcPr>
          <w:p w14:paraId="39E30909" w14:textId="329D816E"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55DE6D3E"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5111CE98" w14:textId="67C96434"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AP-1 has been closed by removal with CCR placed in an off-site permitted landfill. </w:t>
            </w:r>
          </w:p>
        </w:tc>
      </w:tr>
      <w:tr w:rsidR="009C0421" w:rsidRPr="00C55815" w14:paraId="125FB9DB" w14:textId="77777777" w:rsidTr="004E60BF">
        <w:trPr>
          <w:trHeight w:val="290"/>
          <w:jc w:val="center"/>
        </w:trPr>
        <w:tc>
          <w:tcPr>
            <w:tcW w:w="1384" w:type="dxa"/>
            <w:shd w:val="clear" w:color="auto" w:fill="auto"/>
            <w:noWrap/>
            <w:vAlign w:val="center"/>
            <w:hideMark/>
          </w:tcPr>
          <w:p w14:paraId="423606BF"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t>Mitchell</w:t>
            </w:r>
          </w:p>
        </w:tc>
        <w:tc>
          <w:tcPr>
            <w:tcW w:w="1170" w:type="dxa"/>
            <w:shd w:val="clear" w:color="auto" w:fill="auto"/>
            <w:vAlign w:val="center"/>
            <w:hideMark/>
          </w:tcPr>
          <w:p w14:paraId="2DADA50E" w14:textId="5F7B332C"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noWrap/>
            <w:vAlign w:val="center"/>
            <w:hideMark/>
          </w:tcPr>
          <w:p w14:paraId="79A1D17D"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AP-A, 1, 2</w:t>
            </w:r>
          </w:p>
        </w:tc>
        <w:tc>
          <w:tcPr>
            <w:tcW w:w="6440" w:type="dxa"/>
            <w:shd w:val="clear" w:color="auto" w:fill="auto"/>
            <w:vAlign w:val="center"/>
            <w:hideMark/>
          </w:tcPr>
          <w:p w14:paraId="4FEEAC95" w14:textId="207FC116"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AP-A, 1, and 2 are being closed by removal with CCR transported offsite for beneficial use, with ash that does not meet beneficial use specifications placed in an off-site permitted landfill.</w:t>
            </w:r>
          </w:p>
        </w:tc>
      </w:tr>
      <w:tr w:rsidR="009C0421" w:rsidRPr="00C55815" w14:paraId="024441A9" w14:textId="77777777" w:rsidTr="004E60BF">
        <w:trPr>
          <w:trHeight w:val="1040"/>
          <w:jc w:val="center"/>
        </w:trPr>
        <w:tc>
          <w:tcPr>
            <w:tcW w:w="1384" w:type="dxa"/>
            <w:vMerge w:val="restart"/>
            <w:shd w:val="clear" w:color="auto" w:fill="auto"/>
            <w:noWrap/>
            <w:vAlign w:val="center"/>
            <w:hideMark/>
          </w:tcPr>
          <w:p w14:paraId="7D69C558"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t>Scherer</w:t>
            </w:r>
          </w:p>
        </w:tc>
        <w:tc>
          <w:tcPr>
            <w:tcW w:w="1170" w:type="dxa"/>
            <w:shd w:val="clear" w:color="auto" w:fill="auto"/>
            <w:vAlign w:val="center"/>
            <w:hideMark/>
          </w:tcPr>
          <w:p w14:paraId="5DC4C969" w14:textId="14671380"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616FB881"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16061444" w14:textId="64A42E35"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AP-1 will be closed in place with an engineered impermeable cap-cover system. Consistent with the closure plans, the planned closure construction includes consolidation of the current ash pond footprint, with extension of the final cover system over non-CCR containing areas to minimize stormwater infiltration. </w:t>
            </w:r>
          </w:p>
        </w:tc>
      </w:tr>
      <w:tr w:rsidR="009C0421" w:rsidRPr="00C55815" w14:paraId="677CC836" w14:textId="77777777" w:rsidTr="004E60BF">
        <w:trPr>
          <w:trHeight w:val="780"/>
          <w:jc w:val="center"/>
        </w:trPr>
        <w:tc>
          <w:tcPr>
            <w:tcW w:w="1384" w:type="dxa"/>
            <w:vMerge/>
            <w:vAlign w:val="center"/>
            <w:hideMark/>
          </w:tcPr>
          <w:p w14:paraId="0F97926A" w14:textId="77777777" w:rsidR="009C0421" w:rsidRPr="0081189F" w:rsidRDefault="009C0421" w:rsidP="00C35BF6">
            <w:pPr>
              <w:rPr>
                <w:rFonts w:eastAsia="Times New Roman" w:cs="Calibri"/>
                <w:color w:val="000000"/>
              </w:rPr>
            </w:pPr>
          </w:p>
        </w:tc>
        <w:tc>
          <w:tcPr>
            <w:tcW w:w="1170" w:type="dxa"/>
            <w:shd w:val="clear" w:color="auto" w:fill="auto"/>
            <w:vAlign w:val="center"/>
            <w:hideMark/>
          </w:tcPr>
          <w:p w14:paraId="44D8B1D2"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w:t>
            </w:r>
          </w:p>
        </w:tc>
        <w:tc>
          <w:tcPr>
            <w:tcW w:w="950" w:type="dxa"/>
            <w:shd w:val="clear" w:color="auto" w:fill="auto"/>
            <w:vAlign w:val="center"/>
            <w:hideMark/>
          </w:tcPr>
          <w:p w14:paraId="482A9071" w14:textId="34B5FE4A"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732B8A43" w14:textId="2C2551BE"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permitted landfill to remain active as part of ongoing plant operations. The landfill will undergo closure when permitted capacity is reached or when CCR disposal is no longer needed.</w:t>
            </w:r>
          </w:p>
          <w:p w14:paraId="23F42003" w14:textId="7BD2FA5D"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This ECS includes </w:t>
            </w:r>
            <w:r w:rsidR="00492EF9" w:rsidRPr="0081189F">
              <w:rPr>
                <w:rFonts w:eastAsia="Times New Roman" w:cs="Calibri"/>
                <w:color w:val="000000"/>
                <w:sz w:val="20"/>
                <w:szCs w:val="20"/>
              </w:rPr>
              <w:t xml:space="preserve">development of </w:t>
            </w:r>
            <w:r w:rsidR="00636BD3" w:rsidRPr="0081189F">
              <w:rPr>
                <w:rFonts w:eastAsia="Times New Roman" w:cs="Calibri"/>
                <w:color w:val="000000"/>
                <w:sz w:val="20"/>
                <w:szCs w:val="20"/>
              </w:rPr>
              <w:t>a new landfill cell to support continued plant operations</w:t>
            </w:r>
            <w:r w:rsidR="009C6AFB" w:rsidRPr="0081189F">
              <w:rPr>
                <w:rFonts w:eastAsia="Times New Roman" w:cs="Calibri"/>
                <w:color w:val="000000"/>
                <w:sz w:val="20"/>
                <w:szCs w:val="20"/>
              </w:rPr>
              <w:t>.</w:t>
            </w:r>
          </w:p>
        </w:tc>
      </w:tr>
      <w:tr w:rsidR="009C0421" w:rsidRPr="00C55815" w14:paraId="4E0A052F" w14:textId="77777777" w:rsidTr="004E60BF">
        <w:trPr>
          <w:trHeight w:val="520"/>
          <w:jc w:val="center"/>
        </w:trPr>
        <w:tc>
          <w:tcPr>
            <w:tcW w:w="1384" w:type="dxa"/>
            <w:vMerge w:val="restart"/>
            <w:shd w:val="clear" w:color="auto" w:fill="auto"/>
            <w:vAlign w:val="center"/>
            <w:hideMark/>
          </w:tcPr>
          <w:p w14:paraId="3919B781"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Wansley</w:t>
            </w:r>
          </w:p>
        </w:tc>
        <w:tc>
          <w:tcPr>
            <w:tcW w:w="1170" w:type="dxa"/>
            <w:shd w:val="clear" w:color="auto" w:fill="auto"/>
            <w:vAlign w:val="center"/>
            <w:hideMark/>
          </w:tcPr>
          <w:p w14:paraId="2AA19B51" w14:textId="5163DA49"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vAlign w:val="center"/>
            <w:hideMark/>
          </w:tcPr>
          <w:p w14:paraId="14D048E5"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15894433" w14:textId="50B229A0"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AP-1 will be closed by removal with CCR placed in a permitted on-site landfill.</w:t>
            </w:r>
          </w:p>
        </w:tc>
      </w:tr>
      <w:tr w:rsidR="009C0421" w:rsidRPr="00C55815" w14:paraId="075AD961" w14:textId="77777777" w:rsidTr="004E60BF">
        <w:trPr>
          <w:trHeight w:val="520"/>
          <w:jc w:val="center"/>
        </w:trPr>
        <w:tc>
          <w:tcPr>
            <w:tcW w:w="1384" w:type="dxa"/>
            <w:vMerge/>
            <w:vAlign w:val="center"/>
            <w:hideMark/>
          </w:tcPr>
          <w:p w14:paraId="7175BFCD" w14:textId="77777777" w:rsidR="009C0421" w:rsidRPr="0081189F" w:rsidRDefault="009C0421" w:rsidP="009C6AFB">
            <w:pPr>
              <w:rPr>
                <w:rFonts w:eastAsia="Times New Roman" w:cs="Calibri"/>
                <w:color w:val="000000"/>
                <w:sz w:val="20"/>
                <w:szCs w:val="20"/>
              </w:rPr>
            </w:pPr>
          </w:p>
        </w:tc>
        <w:tc>
          <w:tcPr>
            <w:tcW w:w="1170" w:type="dxa"/>
            <w:shd w:val="clear" w:color="auto" w:fill="auto"/>
            <w:vAlign w:val="center"/>
            <w:hideMark/>
          </w:tcPr>
          <w:p w14:paraId="4D4C129C"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w:t>
            </w:r>
          </w:p>
        </w:tc>
        <w:tc>
          <w:tcPr>
            <w:tcW w:w="950" w:type="dxa"/>
            <w:shd w:val="clear" w:color="auto" w:fill="auto"/>
            <w:vAlign w:val="center"/>
            <w:hideMark/>
          </w:tcPr>
          <w:p w14:paraId="7A72BD51" w14:textId="44E91DC5"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1ED5B3AE" w14:textId="0E55A2B5"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permitted landfill will be expanded and then closed when permitted capacity is reached or when CCR disposal is no longer needed.</w:t>
            </w:r>
            <w:r w:rsidR="007C14B7" w:rsidRPr="0081189F">
              <w:rPr>
                <w:rFonts w:eastAsia="Times New Roman" w:cs="Calibri"/>
                <w:color w:val="000000"/>
                <w:sz w:val="20"/>
                <w:szCs w:val="20"/>
              </w:rPr>
              <w:t xml:space="preserve"> </w:t>
            </w:r>
          </w:p>
        </w:tc>
      </w:tr>
      <w:tr w:rsidR="009C0421" w:rsidRPr="00C55815" w14:paraId="776A6658" w14:textId="77777777" w:rsidTr="004E60BF">
        <w:trPr>
          <w:trHeight w:val="520"/>
          <w:jc w:val="center"/>
        </w:trPr>
        <w:tc>
          <w:tcPr>
            <w:tcW w:w="1384" w:type="dxa"/>
            <w:vMerge w:val="restart"/>
            <w:shd w:val="clear" w:color="auto" w:fill="auto"/>
            <w:noWrap/>
            <w:vAlign w:val="center"/>
            <w:hideMark/>
          </w:tcPr>
          <w:p w14:paraId="4352166F" w14:textId="77777777" w:rsidR="009C0421" w:rsidRPr="0081189F" w:rsidRDefault="009C0421" w:rsidP="009C0421">
            <w:pPr>
              <w:spacing w:after="0" w:line="240" w:lineRule="auto"/>
              <w:jc w:val="center"/>
              <w:rPr>
                <w:rFonts w:eastAsia="Times New Roman" w:cs="Calibri"/>
                <w:color w:val="000000"/>
              </w:rPr>
            </w:pPr>
            <w:r w:rsidRPr="0081189F">
              <w:rPr>
                <w:rFonts w:eastAsia="Times New Roman" w:cs="Calibri"/>
                <w:color w:val="000000"/>
                <w:sz w:val="20"/>
                <w:szCs w:val="20"/>
              </w:rPr>
              <w:t>Yates</w:t>
            </w:r>
          </w:p>
        </w:tc>
        <w:tc>
          <w:tcPr>
            <w:tcW w:w="1170" w:type="dxa"/>
            <w:shd w:val="clear" w:color="auto" w:fill="auto"/>
            <w:vAlign w:val="center"/>
            <w:hideMark/>
          </w:tcPr>
          <w:p w14:paraId="3F338301" w14:textId="7EB9F29D" w:rsidR="009C0421" w:rsidRPr="0081189F" w:rsidRDefault="009C0421" w:rsidP="009C0421">
            <w:pPr>
              <w:spacing w:after="0" w:line="240" w:lineRule="auto"/>
              <w:jc w:val="center"/>
              <w:rPr>
                <w:rFonts w:eastAsia="Times New Roman" w:cs="Calibri"/>
                <w:color w:val="000000"/>
                <w:sz w:val="20"/>
                <w:szCs w:val="20"/>
              </w:rPr>
            </w:pPr>
          </w:p>
        </w:tc>
        <w:tc>
          <w:tcPr>
            <w:tcW w:w="950" w:type="dxa"/>
            <w:shd w:val="clear" w:color="auto" w:fill="auto"/>
            <w:noWrap/>
            <w:vAlign w:val="center"/>
            <w:hideMark/>
          </w:tcPr>
          <w:p w14:paraId="36359FAC" w14:textId="77777777" w:rsidR="009C0421" w:rsidRPr="0081189F" w:rsidRDefault="009C0421" w:rsidP="009C0421">
            <w:pPr>
              <w:spacing w:after="0" w:line="240" w:lineRule="auto"/>
              <w:jc w:val="center"/>
              <w:rPr>
                <w:rFonts w:eastAsia="Times New Roman" w:cs="Calibri"/>
                <w:color w:val="000000"/>
                <w:sz w:val="20"/>
                <w:szCs w:val="20"/>
              </w:rPr>
            </w:pPr>
            <w:r w:rsidRPr="0081189F">
              <w:rPr>
                <w:rFonts w:eastAsia="Times New Roman" w:cs="Calibri"/>
                <w:color w:val="000000"/>
                <w:sz w:val="20"/>
                <w:szCs w:val="20"/>
              </w:rPr>
              <w:t>AP-1</w:t>
            </w:r>
          </w:p>
        </w:tc>
        <w:tc>
          <w:tcPr>
            <w:tcW w:w="6440" w:type="dxa"/>
            <w:shd w:val="clear" w:color="auto" w:fill="auto"/>
            <w:vAlign w:val="center"/>
            <w:hideMark/>
          </w:tcPr>
          <w:p w14:paraId="423B48F3" w14:textId="5128CB80"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CCR from AP-1 was removed from the ash pond and consolidated to R6, AP-B</w:t>
            </w:r>
            <w:r w:rsidR="00F27689" w:rsidRPr="0081189F">
              <w:rPr>
                <w:rFonts w:eastAsia="Times New Roman" w:cs="Calibri"/>
                <w:color w:val="000000"/>
                <w:sz w:val="20"/>
                <w:szCs w:val="20"/>
              </w:rPr>
              <w:t>’</w:t>
            </w:r>
            <w:r w:rsidRPr="0081189F">
              <w:rPr>
                <w:rFonts w:eastAsia="Times New Roman" w:cs="Calibri"/>
                <w:color w:val="000000"/>
                <w:sz w:val="20"/>
                <w:szCs w:val="20"/>
              </w:rPr>
              <w:t xml:space="preserve"> and AP-3.</w:t>
            </w:r>
            <w:r w:rsidR="007C14B7" w:rsidRPr="0081189F">
              <w:rPr>
                <w:rFonts w:eastAsia="Times New Roman" w:cs="Calibri"/>
                <w:color w:val="000000"/>
                <w:sz w:val="20"/>
                <w:szCs w:val="20"/>
              </w:rPr>
              <w:t xml:space="preserve"> </w:t>
            </w:r>
          </w:p>
        </w:tc>
      </w:tr>
      <w:tr w:rsidR="009C0421" w:rsidRPr="00C55815" w14:paraId="6936452F" w14:textId="77777777" w:rsidTr="004E60BF">
        <w:trPr>
          <w:trHeight w:val="290"/>
          <w:jc w:val="center"/>
        </w:trPr>
        <w:tc>
          <w:tcPr>
            <w:tcW w:w="1384" w:type="dxa"/>
            <w:vMerge/>
            <w:vAlign w:val="center"/>
            <w:hideMark/>
          </w:tcPr>
          <w:p w14:paraId="47E53687" w14:textId="77777777" w:rsidR="009C0421" w:rsidRPr="0081189F" w:rsidRDefault="009C0421" w:rsidP="009C6AFB">
            <w:pPr>
              <w:rPr>
                <w:rFonts w:eastAsia="Times New Roman" w:cs="Calibri"/>
                <w:color w:val="000000"/>
              </w:rPr>
            </w:pPr>
          </w:p>
        </w:tc>
        <w:tc>
          <w:tcPr>
            <w:tcW w:w="1170" w:type="dxa"/>
            <w:shd w:val="clear" w:color="auto" w:fill="auto"/>
            <w:vAlign w:val="center"/>
            <w:hideMark/>
          </w:tcPr>
          <w:p w14:paraId="3F69BCEC" w14:textId="3E9D77E8" w:rsidR="009C0421" w:rsidRPr="0081189F" w:rsidRDefault="009C0421" w:rsidP="009C0421">
            <w:pPr>
              <w:jc w:val="center"/>
              <w:rPr>
                <w:rFonts w:eastAsia="Times New Roman" w:cs="Calibri"/>
                <w:color w:val="000000"/>
                <w:sz w:val="20"/>
                <w:szCs w:val="20"/>
              </w:rPr>
            </w:pPr>
          </w:p>
        </w:tc>
        <w:tc>
          <w:tcPr>
            <w:tcW w:w="950" w:type="dxa"/>
            <w:shd w:val="clear" w:color="auto" w:fill="auto"/>
            <w:noWrap/>
            <w:vAlign w:val="center"/>
            <w:hideMark/>
          </w:tcPr>
          <w:p w14:paraId="56818871"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AP-2</w:t>
            </w:r>
          </w:p>
        </w:tc>
        <w:tc>
          <w:tcPr>
            <w:tcW w:w="6440" w:type="dxa"/>
            <w:shd w:val="clear" w:color="auto" w:fill="auto"/>
            <w:vAlign w:val="center"/>
            <w:hideMark/>
          </w:tcPr>
          <w:p w14:paraId="425C47AB" w14:textId="33467183"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AP-2 was closed by removal to AP-B</w:t>
            </w:r>
            <w:r w:rsidR="00F27689" w:rsidRPr="0081189F">
              <w:rPr>
                <w:rFonts w:eastAsia="Times New Roman" w:cs="Calibri"/>
                <w:color w:val="000000"/>
                <w:sz w:val="20"/>
                <w:szCs w:val="20"/>
              </w:rPr>
              <w:t>’</w:t>
            </w:r>
            <w:r w:rsidRPr="0081189F">
              <w:rPr>
                <w:rFonts w:eastAsia="Times New Roman" w:cs="Calibri"/>
                <w:color w:val="000000"/>
                <w:sz w:val="20"/>
                <w:szCs w:val="20"/>
              </w:rPr>
              <w:t xml:space="preserve"> and AP-3. </w:t>
            </w:r>
          </w:p>
        </w:tc>
      </w:tr>
      <w:tr w:rsidR="009C0421" w:rsidRPr="00C55815" w14:paraId="4DA53D77" w14:textId="77777777" w:rsidTr="004E60BF">
        <w:trPr>
          <w:trHeight w:val="971"/>
          <w:jc w:val="center"/>
        </w:trPr>
        <w:tc>
          <w:tcPr>
            <w:tcW w:w="1384" w:type="dxa"/>
            <w:vMerge/>
            <w:vAlign w:val="center"/>
            <w:hideMark/>
          </w:tcPr>
          <w:p w14:paraId="620902A6" w14:textId="77777777" w:rsidR="009C0421" w:rsidRPr="0081189F" w:rsidRDefault="009C0421" w:rsidP="009C6AFB">
            <w:pPr>
              <w:rPr>
                <w:rFonts w:eastAsia="Times New Roman" w:cs="Calibri"/>
                <w:color w:val="000000"/>
              </w:rPr>
            </w:pPr>
          </w:p>
        </w:tc>
        <w:tc>
          <w:tcPr>
            <w:tcW w:w="1170" w:type="dxa"/>
            <w:shd w:val="clear" w:color="auto" w:fill="auto"/>
            <w:vAlign w:val="center"/>
            <w:hideMark/>
          </w:tcPr>
          <w:p w14:paraId="0EB78DB3" w14:textId="3A0DD753" w:rsidR="009C0421" w:rsidRPr="0081189F" w:rsidRDefault="009C0421" w:rsidP="009C0421">
            <w:pPr>
              <w:jc w:val="center"/>
              <w:rPr>
                <w:rFonts w:eastAsia="Times New Roman" w:cs="Calibri"/>
                <w:color w:val="000000"/>
                <w:sz w:val="20"/>
                <w:szCs w:val="20"/>
              </w:rPr>
            </w:pPr>
          </w:p>
        </w:tc>
        <w:tc>
          <w:tcPr>
            <w:tcW w:w="950" w:type="dxa"/>
            <w:shd w:val="clear" w:color="auto" w:fill="auto"/>
            <w:noWrap/>
            <w:vAlign w:val="center"/>
            <w:hideMark/>
          </w:tcPr>
          <w:p w14:paraId="32C3B504"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AP-3, B’</w:t>
            </w:r>
          </w:p>
        </w:tc>
        <w:tc>
          <w:tcPr>
            <w:tcW w:w="6440" w:type="dxa"/>
            <w:shd w:val="clear" w:color="auto" w:fill="auto"/>
            <w:vAlign w:val="center"/>
            <w:hideMark/>
          </w:tcPr>
          <w:p w14:paraId="19041BA5" w14:textId="3AF3E579"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 xml:space="preserve">AP-3 and AP-B’ are being consolidated and will be closed in place with an engineered impermeable cap-cover system. Consistent with the closure plans, a subsurface hydraulic conveyance system has been installed as part of the closure.  </w:t>
            </w:r>
          </w:p>
        </w:tc>
      </w:tr>
      <w:tr w:rsidR="009C0421" w:rsidRPr="00C55815" w14:paraId="490AE092" w14:textId="77777777" w:rsidTr="004E60BF">
        <w:trPr>
          <w:trHeight w:val="290"/>
          <w:jc w:val="center"/>
        </w:trPr>
        <w:tc>
          <w:tcPr>
            <w:tcW w:w="1384" w:type="dxa"/>
            <w:vMerge/>
            <w:vAlign w:val="center"/>
            <w:hideMark/>
          </w:tcPr>
          <w:p w14:paraId="5733E4BB" w14:textId="77777777" w:rsidR="009C0421" w:rsidRPr="0081189F" w:rsidRDefault="009C0421" w:rsidP="009C6AFB">
            <w:pPr>
              <w:rPr>
                <w:rFonts w:eastAsia="Times New Roman" w:cs="Calibri"/>
                <w:color w:val="000000"/>
              </w:rPr>
            </w:pPr>
          </w:p>
        </w:tc>
        <w:tc>
          <w:tcPr>
            <w:tcW w:w="1170" w:type="dxa"/>
            <w:shd w:val="clear" w:color="auto" w:fill="auto"/>
            <w:vAlign w:val="center"/>
            <w:hideMark/>
          </w:tcPr>
          <w:p w14:paraId="7CDAC65A" w14:textId="400A4F0A" w:rsidR="009C0421" w:rsidRPr="0081189F" w:rsidRDefault="009C0421" w:rsidP="009C0421">
            <w:pPr>
              <w:jc w:val="center"/>
              <w:rPr>
                <w:rFonts w:eastAsia="Times New Roman" w:cs="Calibri"/>
                <w:color w:val="000000"/>
                <w:sz w:val="20"/>
                <w:szCs w:val="20"/>
              </w:rPr>
            </w:pPr>
          </w:p>
        </w:tc>
        <w:tc>
          <w:tcPr>
            <w:tcW w:w="950" w:type="dxa"/>
            <w:shd w:val="clear" w:color="auto" w:fill="auto"/>
            <w:noWrap/>
            <w:vAlign w:val="center"/>
            <w:hideMark/>
          </w:tcPr>
          <w:p w14:paraId="6FF86487"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AP-A</w:t>
            </w:r>
          </w:p>
        </w:tc>
        <w:tc>
          <w:tcPr>
            <w:tcW w:w="6440" w:type="dxa"/>
            <w:shd w:val="clear" w:color="auto" w:fill="auto"/>
            <w:vAlign w:val="center"/>
            <w:hideMark/>
          </w:tcPr>
          <w:p w14:paraId="2735765F" w14:textId="350A7101"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AP-A was closed by removal to AP-</w:t>
            </w:r>
            <w:r w:rsidR="00F27689" w:rsidRPr="0081189F">
              <w:rPr>
                <w:rFonts w:eastAsia="Times New Roman" w:cs="Calibri"/>
                <w:color w:val="000000"/>
                <w:sz w:val="20"/>
                <w:szCs w:val="20"/>
              </w:rPr>
              <w:t xml:space="preserve">B’ </w:t>
            </w:r>
            <w:r w:rsidRPr="0081189F">
              <w:rPr>
                <w:rFonts w:eastAsia="Times New Roman" w:cs="Calibri"/>
                <w:color w:val="000000"/>
                <w:sz w:val="20"/>
                <w:szCs w:val="20"/>
              </w:rPr>
              <w:t xml:space="preserve">and AP-3. </w:t>
            </w:r>
          </w:p>
        </w:tc>
      </w:tr>
      <w:tr w:rsidR="009C0421" w:rsidRPr="00C55815" w14:paraId="4DA94506" w14:textId="77777777" w:rsidTr="004E60BF">
        <w:trPr>
          <w:trHeight w:val="290"/>
          <w:jc w:val="center"/>
        </w:trPr>
        <w:tc>
          <w:tcPr>
            <w:tcW w:w="1384" w:type="dxa"/>
            <w:vMerge/>
            <w:vAlign w:val="center"/>
            <w:hideMark/>
          </w:tcPr>
          <w:p w14:paraId="41561482" w14:textId="77777777" w:rsidR="009C0421" w:rsidRPr="0081189F" w:rsidRDefault="009C0421" w:rsidP="00C35BF6">
            <w:pPr>
              <w:rPr>
                <w:rFonts w:eastAsia="Times New Roman" w:cs="Calibri"/>
                <w:color w:val="000000"/>
              </w:rPr>
            </w:pPr>
          </w:p>
        </w:tc>
        <w:tc>
          <w:tcPr>
            <w:tcW w:w="1170" w:type="dxa"/>
            <w:shd w:val="clear" w:color="auto" w:fill="auto"/>
            <w:vAlign w:val="center"/>
            <w:hideMark/>
          </w:tcPr>
          <w:p w14:paraId="1E5DA668" w14:textId="6686FBD6" w:rsidR="009C0421" w:rsidRPr="0081189F" w:rsidRDefault="009C0421" w:rsidP="009C0421">
            <w:pPr>
              <w:jc w:val="center"/>
              <w:rPr>
                <w:rFonts w:eastAsia="Times New Roman" w:cs="Calibri"/>
                <w:color w:val="000000"/>
                <w:sz w:val="20"/>
                <w:szCs w:val="20"/>
              </w:rPr>
            </w:pPr>
          </w:p>
        </w:tc>
        <w:tc>
          <w:tcPr>
            <w:tcW w:w="950" w:type="dxa"/>
            <w:shd w:val="clear" w:color="auto" w:fill="auto"/>
            <w:noWrap/>
            <w:vAlign w:val="center"/>
            <w:hideMark/>
          </w:tcPr>
          <w:p w14:paraId="09C59BD5"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AP-B</w:t>
            </w:r>
          </w:p>
        </w:tc>
        <w:tc>
          <w:tcPr>
            <w:tcW w:w="6440" w:type="dxa"/>
            <w:shd w:val="clear" w:color="auto" w:fill="auto"/>
            <w:vAlign w:val="center"/>
            <w:hideMark/>
          </w:tcPr>
          <w:p w14:paraId="7CF7E8C2" w14:textId="4B48C4FC"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AP-B is being closed by removal to AP-</w:t>
            </w:r>
            <w:r w:rsidR="00F27689" w:rsidRPr="0081189F">
              <w:rPr>
                <w:rFonts w:eastAsia="Times New Roman" w:cs="Calibri"/>
                <w:color w:val="000000"/>
                <w:sz w:val="20"/>
                <w:szCs w:val="20"/>
              </w:rPr>
              <w:t xml:space="preserve">B’ </w:t>
            </w:r>
            <w:r w:rsidRPr="0081189F">
              <w:rPr>
                <w:rFonts w:eastAsia="Times New Roman" w:cs="Calibri"/>
                <w:color w:val="000000"/>
                <w:sz w:val="20"/>
                <w:szCs w:val="20"/>
              </w:rPr>
              <w:t>and AP-3.</w:t>
            </w:r>
            <w:r w:rsidR="007C14B7" w:rsidRPr="0081189F">
              <w:rPr>
                <w:rFonts w:eastAsia="Times New Roman" w:cs="Calibri"/>
                <w:color w:val="000000"/>
                <w:sz w:val="20"/>
                <w:szCs w:val="20"/>
              </w:rPr>
              <w:t xml:space="preserve"> </w:t>
            </w:r>
          </w:p>
        </w:tc>
      </w:tr>
      <w:tr w:rsidR="009C0421" w:rsidRPr="00C55815" w14:paraId="205DAAA7" w14:textId="77777777" w:rsidTr="004E60BF">
        <w:trPr>
          <w:trHeight w:val="520"/>
          <w:jc w:val="center"/>
        </w:trPr>
        <w:tc>
          <w:tcPr>
            <w:tcW w:w="1384" w:type="dxa"/>
            <w:vMerge/>
            <w:vAlign w:val="center"/>
            <w:hideMark/>
          </w:tcPr>
          <w:p w14:paraId="71C9DC68" w14:textId="77777777" w:rsidR="009C0421" w:rsidRPr="0081189F" w:rsidRDefault="009C0421" w:rsidP="00237606">
            <w:pPr>
              <w:rPr>
                <w:rFonts w:eastAsia="Times New Roman" w:cs="Calibri"/>
                <w:color w:val="000000"/>
              </w:rPr>
            </w:pPr>
          </w:p>
        </w:tc>
        <w:tc>
          <w:tcPr>
            <w:tcW w:w="1170" w:type="dxa"/>
            <w:shd w:val="clear" w:color="auto" w:fill="auto"/>
            <w:vAlign w:val="center"/>
            <w:hideMark/>
          </w:tcPr>
          <w:p w14:paraId="68196AD4" w14:textId="63782C56" w:rsidR="009C0421" w:rsidRPr="0081189F" w:rsidRDefault="009C0421" w:rsidP="009C0421">
            <w:pPr>
              <w:jc w:val="center"/>
              <w:rPr>
                <w:rFonts w:eastAsia="Times New Roman" w:cs="Calibri"/>
                <w:color w:val="000000"/>
                <w:sz w:val="20"/>
                <w:szCs w:val="20"/>
              </w:rPr>
            </w:pPr>
          </w:p>
        </w:tc>
        <w:tc>
          <w:tcPr>
            <w:tcW w:w="950" w:type="dxa"/>
            <w:shd w:val="clear" w:color="auto" w:fill="auto"/>
            <w:noWrap/>
            <w:vAlign w:val="center"/>
          </w:tcPr>
          <w:p w14:paraId="32243A55"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AP-C</w:t>
            </w:r>
          </w:p>
        </w:tc>
        <w:tc>
          <w:tcPr>
            <w:tcW w:w="6440" w:type="dxa"/>
            <w:shd w:val="clear" w:color="auto" w:fill="auto"/>
            <w:vAlign w:val="center"/>
          </w:tcPr>
          <w:p w14:paraId="32DE9743" w14:textId="1040B097"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AP-C was previously incorporated into the on-site permitted landfill, R6.</w:t>
            </w:r>
            <w:r w:rsidRPr="0081189F">
              <w:rPr>
                <w:rFonts w:eastAsia="Times New Roman" w:cs="Arial"/>
                <w:color w:val="000000"/>
                <w:sz w:val="16"/>
                <w:szCs w:val="16"/>
              </w:rPr>
              <w:t> </w:t>
            </w:r>
          </w:p>
        </w:tc>
      </w:tr>
      <w:tr w:rsidR="009C0421" w:rsidRPr="00C55815" w14:paraId="4E61DDF7" w14:textId="77777777" w:rsidTr="004E60BF">
        <w:trPr>
          <w:trHeight w:val="710"/>
          <w:jc w:val="center"/>
        </w:trPr>
        <w:tc>
          <w:tcPr>
            <w:tcW w:w="1384" w:type="dxa"/>
            <w:vMerge/>
            <w:vAlign w:val="center"/>
            <w:hideMark/>
          </w:tcPr>
          <w:p w14:paraId="44687CD1" w14:textId="77777777" w:rsidR="009C0421" w:rsidRPr="0081189F" w:rsidRDefault="009C0421" w:rsidP="00237606">
            <w:pPr>
              <w:rPr>
                <w:rFonts w:eastAsia="Times New Roman" w:cs="Calibri"/>
                <w:color w:val="000000"/>
              </w:rPr>
            </w:pPr>
          </w:p>
        </w:tc>
        <w:tc>
          <w:tcPr>
            <w:tcW w:w="1170" w:type="dxa"/>
            <w:shd w:val="clear" w:color="auto" w:fill="auto"/>
            <w:noWrap/>
            <w:vAlign w:val="center"/>
            <w:hideMark/>
          </w:tcPr>
          <w:p w14:paraId="778947F2"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 R6</w:t>
            </w:r>
          </w:p>
        </w:tc>
        <w:tc>
          <w:tcPr>
            <w:tcW w:w="950" w:type="dxa"/>
            <w:shd w:val="clear" w:color="auto" w:fill="auto"/>
            <w:vAlign w:val="center"/>
            <w:hideMark/>
          </w:tcPr>
          <w:p w14:paraId="689A0FF0" w14:textId="3E27F3F2"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7962624B" w14:textId="3A7698FF" w:rsidR="009C0421" w:rsidRPr="0081189F" w:rsidRDefault="009C0421" w:rsidP="009C0421">
            <w:pPr>
              <w:spacing w:after="0" w:line="240" w:lineRule="auto"/>
              <w:rPr>
                <w:rFonts w:eastAsia="Times New Roman" w:cs="Calibri"/>
                <w:color w:val="000000"/>
                <w:sz w:val="20"/>
                <w:szCs w:val="20"/>
              </w:rPr>
            </w:pPr>
            <w:r w:rsidRPr="0081189F">
              <w:rPr>
                <w:rFonts w:eastAsia="Times New Roman" w:cs="Calibri"/>
                <w:color w:val="000000"/>
                <w:sz w:val="20"/>
                <w:szCs w:val="20"/>
              </w:rPr>
              <w:t>The landfill is being closed in accordance with its current landfill permit requirements.</w:t>
            </w:r>
          </w:p>
        </w:tc>
      </w:tr>
      <w:tr w:rsidR="009C0421" w:rsidRPr="00C55815" w14:paraId="13554A12" w14:textId="77777777" w:rsidTr="004E60BF">
        <w:trPr>
          <w:trHeight w:val="476"/>
          <w:jc w:val="center"/>
        </w:trPr>
        <w:tc>
          <w:tcPr>
            <w:tcW w:w="1384" w:type="dxa"/>
            <w:vMerge/>
            <w:vAlign w:val="center"/>
            <w:hideMark/>
          </w:tcPr>
          <w:p w14:paraId="1B8D3D5A" w14:textId="77777777" w:rsidR="009C0421" w:rsidRPr="0081189F" w:rsidRDefault="009C0421" w:rsidP="00237606">
            <w:pPr>
              <w:rPr>
                <w:rFonts w:eastAsia="Times New Roman" w:cs="Calibri"/>
                <w:color w:val="000000"/>
              </w:rPr>
            </w:pPr>
          </w:p>
        </w:tc>
        <w:tc>
          <w:tcPr>
            <w:tcW w:w="1170" w:type="dxa"/>
            <w:shd w:val="clear" w:color="auto" w:fill="auto"/>
            <w:noWrap/>
            <w:vAlign w:val="center"/>
            <w:hideMark/>
          </w:tcPr>
          <w:p w14:paraId="14775966" w14:textId="77777777" w:rsidR="009C0421" w:rsidRPr="0081189F" w:rsidRDefault="009C0421" w:rsidP="009C0421">
            <w:pPr>
              <w:jc w:val="center"/>
              <w:rPr>
                <w:rFonts w:eastAsia="Times New Roman" w:cs="Calibri"/>
                <w:color w:val="000000"/>
                <w:sz w:val="20"/>
                <w:szCs w:val="20"/>
              </w:rPr>
            </w:pPr>
            <w:r w:rsidRPr="0081189F">
              <w:rPr>
                <w:rFonts w:eastAsia="Times New Roman" w:cs="Calibri"/>
                <w:color w:val="000000"/>
                <w:sz w:val="20"/>
                <w:szCs w:val="20"/>
              </w:rPr>
              <w:t>LF Gypsum</w:t>
            </w:r>
          </w:p>
        </w:tc>
        <w:tc>
          <w:tcPr>
            <w:tcW w:w="950" w:type="dxa"/>
            <w:shd w:val="clear" w:color="auto" w:fill="auto"/>
            <w:vAlign w:val="center"/>
            <w:hideMark/>
          </w:tcPr>
          <w:p w14:paraId="41AD5E45" w14:textId="1DC65B8A" w:rsidR="009C0421" w:rsidRPr="0081189F" w:rsidRDefault="009C0421" w:rsidP="009C0421">
            <w:pPr>
              <w:jc w:val="center"/>
              <w:rPr>
                <w:rFonts w:eastAsia="Times New Roman" w:cs="Calibri"/>
                <w:color w:val="000000"/>
                <w:sz w:val="20"/>
                <w:szCs w:val="20"/>
              </w:rPr>
            </w:pPr>
          </w:p>
        </w:tc>
        <w:tc>
          <w:tcPr>
            <w:tcW w:w="6440" w:type="dxa"/>
            <w:shd w:val="clear" w:color="auto" w:fill="auto"/>
            <w:vAlign w:val="center"/>
            <w:hideMark/>
          </w:tcPr>
          <w:p w14:paraId="33064A18" w14:textId="3E5DFA29" w:rsidR="00237606" w:rsidRPr="0081189F" w:rsidRDefault="009C0421" w:rsidP="001D491B">
            <w:pPr>
              <w:spacing w:after="0" w:line="240" w:lineRule="auto"/>
              <w:jc w:val="left"/>
              <w:rPr>
                <w:rFonts w:eastAsia="Times New Roman" w:cs="Calibri"/>
                <w:color w:val="000000"/>
                <w:sz w:val="20"/>
                <w:szCs w:val="20"/>
              </w:rPr>
            </w:pPr>
            <w:r w:rsidRPr="0081189F">
              <w:rPr>
                <w:rFonts w:eastAsia="Times New Roman" w:cs="Calibri"/>
                <w:color w:val="000000"/>
                <w:sz w:val="20"/>
                <w:szCs w:val="20"/>
              </w:rPr>
              <w:t xml:space="preserve">The gypsum landfill has been closed by removal. </w:t>
            </w:r>
            <w:r w:rsidR="00237606" w:rsidRPr="0081189F">
              <w:rPr>
                <w:rFonts w:eastAsia="Times New Roman" w:cs="Calibri"/>
                <w:color w:val="000000"/>
                <w:sz w:val="20"/>
                <w:szCs w:val="20"/>
              </w:rPr>
              <w:t>Georgia EPD accepted the Plant Yates Gypsum Landfill Decontamination Demonstration/</w:t>
            </w:r>
            <w:r w:rsidR="001D491B">
              <w:rPr>
                <w:rFonts w:eastAsia="Times New Roman" w:cs="Calibri"/>
                <w:color w:val="000000"/>
                <w:sz w:val="20"/>
                <w:szCs w:val="20"/>
              </w:rPr>
              <w:t xml:space="preserve"> </w:t>
            </w:r>
            <w:r w:rsidR="00237606" w:rsidRPr="0081189F">
              <w:rPr>
                <w:rFonts w:eastAsia="Times New Roman" w:cs="Calibri"/>
                <w:color w:val="000000"/>
                <w:sz w:val="20"/>
                <w:szCs w:val="20"/>
              </w:rPr>
              <w:t xml:space="preserve">Certification and </w:t>
            </w:r>
            <w:r w:rsidR="001D491B">
              <w:rPr>
                <w:rFonts w:eastAsia="Times New Roman" w:cs="Calibri"/>
                <w:color w:val="000000"/>
                <w:sz w:val="20"/>
                <w:szCs w:val="20"/>
              </w:rPr>
              <w:t>released</w:t>
            </w:r>
            <w:r w:rsidR="00237606">
              <w:rPr>
                <w:rFonts w:eastAsia="Times New Roman" w:cs="Calibri"/>
                <w:color w:val="000000"/>
                <w:sz w:val="20"/>
                <w:szCs w:val="20"/>
              </w:rPr>
              <w:t xml:space="preserve"> t</w:t>
            </w:r>
            <w:r w:rsidR="00237606" w:rsidRPr="0081189F">
              <w:rPr>
                <w:rFonts w:eastAsia="Times New Roman" w:cs="Calibri"/>
                <w:color w:val="000000"/>
                <w:sz w:val="20"/>
                <w:szCs w:val="20"/>
              </w:rPr>
              <w:t>he unit from the CCR Permit.</w:t>
            </w:r>
          </w:p>
        </w:tc>
      </w:tr>
    </w:tbl>
    <w:p w14:paraId="55BC0894" w14:textId="77777777" w:rsidR="004E60BF" w:rsidRDefault="004E60BF" w:rsidP="009B2320">
      <w:pPr>
        <w:spacing w:before="0" w:after="0"/>
      </w:pPr>
    </w:p>
    <w:p w14:paraId="454FB072" w14:textId="61BE1F1A" w:rsidR="001D33DF" w:rsidRDefault="008F0059" w:rsidP="004E60BF">
      <w:r w:rsidRPr="7A0C2078">
        <w:t>In November 2018, Georgia Power submi</w:t>
      </w:r>
      <w:r>
        <w:t>tted</w:t>
      </w:r>
      <w:r w:rsidRPr="7A0C2078">
        <w:t xml:space="preserve"> 29 CCR permit applications as required by the Georgia CCR Rule for </w:t>
      </w:r>
      <w:r w:rsidR="00A66486">
        <w:t xml:space="preserve">all existing </w:t>
      </w:r>
      <w:r w:rsidRPr="7A0C2078">
        <w:t>ash ponds and CCR landfills. These permit applications outlined detailed engineering information about Georgia Power</w:t>
      </w:r>
      <w:r w:rsidR="00F27689">
        <w:t>’</w:t>
      </w:r>
      <w:r w:rsidRPr="7A0C2078">
        <w:t>s ash pond closure and landfill operations plans</w:t>
      </w:r>
      <w:r>
        <w:t xml:space="preserve"> and were </w:t>
      </w:r>
      <w:r w:rsidRPr="7A0C2078">
        <w:t>developed with significant internal resources supported by multiple third-party engineering firms and licensed professional engineers and geologists.</w:t>
      </w:r>
      <w:r>
        <w:t xml:space="preserve"> </w:t>
      </w:r>
      <w:r w:rsidR="002925BE" w:rsidRPr="003D640E">
        <w:t xml:space="preserve">As part of the permitting process, Georgia EPD reviews and provides comments to Georgia Power on the site-specific details of the individual permit applications. The Company took steps to address </w:t>
      </w:r>
      <w:r w:rsidR="00F27689">
        <w:t>Georgia</w:t>
      </w:r>
      <w:r w:rsidR="002925BE" w:rsidRPr="003D640E">
        <w:t xml:space="preserve"> EPD’s comments, which included</w:t>
      </w:r>
      <w:r w:rsidR="002925BE">
        <w:t xml:space="preserve"> working with third-party engineering firms to</w:t>
      </w:r>
      <w:r w:rsidR="002925BE" w:rsidRPr="003D640E">
        <w:t xml:space="preserve"> </w:t>
      </w:r>
      <w:r w:rsidR="002925BE">
        <w:t>update</w:t>
      </w:r>
      <w:r w:rsidR="002925BE" w:rsidRPr="003D640E">
        <w:t xml:space="preserve"> groundwater monitoring </w:t>
      </w:r>
      <w:r w:rsidR="002925BE">
        <w:t>plans</w:t>
      </w:r>
      <w:r w:rsidR="002925BE" w:rsidRPr="003D640E">
        <w:t>, revis</w:t>
      </w:r>
      <w:r w:rsidR="002925BE">
        <w:t>e</w:t>
      </w:r>
      <w:r w:rsidR="002925BE" w:rsidRPr="003D640E">
        <w:t xml:space="preserve"> permit documents</w:t>
      </w:r>
      <w:r w:rsidR="00285C44">
        <w:t>,</w:t>
      </w:r>
      <w:r w:rsidR="002925BE" w:rsidRPr="003D640E">
        <w:t xml:space="preserve"> and updat</w:t>
      </w:r>
      <w:r w:rsidR="002925BE">
        <w:t>e</w:t>
      </w:r>
      <w:r w:rsidR="002925BE" w:rsidRPr="003D640E">
        <w:t xml:space="preserve"> closure drawings and engineering calculations. However, while</w:t>
      </w:r>
      <w:r w:rsidR="00F27689">
        <w:t xml:space="preserve"> Georgia</w:t>
      </w:r>
      <w:r w:rsidR="002925BE" w:rsidRPr="003D640E">
        <w:t xml:space="preserve"> EPD required the Company to update its </w:t>
      </w:r>
      <w:r w:rsidR="002925BE">
        <w:t xml:space="preserve">permit </w:t>
      </w:r>
      <w:r w:rsidR="002925BE" w:rsidRPr="003D640E">
        <w:t>application</w:t>
      </w:r>
      <w:r w:rsidR="002925BE">
        <w:t>s</w:t>
      </w:r>
      <w:r w:rsidR="002925BE" w:rsidRPr="003D640E">
        <w:t xml:space="preserve"> and plans, final permits </w:t>
      </w:r>
      <w:r w:rsidR="005339AA">
        <w:t>have been</w:t>
      </w:r>
      <w:r w:rsidR="002925BE" w:rsidRPr="003D640E">
        <w:t xml:space="preserve"> largely consistent with </w:t>
      </w:r>
      <w:r w:rsidR="002925BE">
        <w:t>permit</w:t>
      </w:r>
      <w:r w:rsidR="002925BE" w:rsidRPr="003D640E">
        <w:t xml:space="preserve"> applications and did not significantly change the Company’s closure plans.</w:t>
      </w:r>
      <w:r w:rsidR="00746AB3">
        <w:t xml:space="preserve"> </w:t>
      </w:r>
    </w:p>
    <w:p w14:paraId="3947E7DA" w14:textId="15A69735" w:rsidR="00AC4FB8" w:rsidRPr="001D33DF" w:rsidRDefault="008F0059" w:rsidP="004E60BF">
      <w:pPr>
        <w:rPr>
          <w:lang w:val="en"/>
        </w:rPr>
      </w:pPr>
      <w:r w:rsidRPr="00C6617C">
        <w:rPr>
          <w:rStyle w:val="normaltextrun"/>
          <w:rFonts w:cs="Arial"/>
          <w:color w:val="000000"/>
          <w:shd w:val="clear" w:color="auto" w:fill="FFFFFF"/>
        </w:rPr>
        <w:t>To date,</w:t>
      </w:r>
      <w:r w:rsidR="0019003C" w:rsidRPr="000617C3">
        <w:rPr>
          <w:rStyle w:val="normaltextrun"/>
          <w:rFonts w:cs="Arial"/>
          <w:color w:val="000000"/>
          <w:shd w:val="clear" w:color="auto" w:fill="FFFFFF"/>
        </w:rPr>
        <w:t xml:space="preserve"> </w:t>
      </w:r>
      <w:r w:rsidR="00F27689">
        <w:rPr>
          <w:rStyle w:val="normaltextrun"/>
          <w:rFonts w:cs="Arial"/>
          <w:color w:val="000000"/>
          <w:shd w:val="clear" w:color="auto" w:fill="FFFFFF"/>
        </w:rPr>
        <w:t xml:space="preserve">Georgia </w:t>
      </w:r>
      <w:r w:rsidR="0019003C" w:rsidRPr="000617C3">
        <w:rPr>
          <w:rStyle w:val="normaltextrun"/>
          <w:rFonts w:cs="Arial"/>
          <w:color w:val="000000"/>
          <w:shd w:val="clear" w:color="auto" w:fill="FFFFFF"/>
        </w:rPr>
        <w:t xml:space="preserve">EPD has issued a total of 17 final permits, including </w:t>
      </w:r>
      <w:r w:rsidR="00F27689">
        <w:rPr>
          <w:rStyle w:val="normaltextrun"/>
          <w:rFonts w:cs="Arial"/>
          <w:color w:val="000000"/>
          <w:shd w:val="clear" w:color="auto" w:fill="FFFFFF"/>
        </w:rPr>
        <w:t>two</w:t>
      </w:r>
      <w:r w:rsidR="00F27689" w:rsidRPr="000617C3">
        <w:rPr>
          <w:rStyle w:val="normaltextrun"/>
          <w:rFonts w:cs="Arial"/>
          <w:color w:val="000000"/>
          <w:shd w:val="clear" w:color="auto" w:fill="FFFFFF"/>
        </w:rPr>
        <w:t xml:space="preserve"> </w:t>
      </w:r>
      <w:r w:rsidR="0019003C" w:rsidRPr="000617C3">
        <w:rPr>
          <w:rStyle w:val="normaltextrun"/>
          <w:rFonts w:cs="Arial"/>
          <w:color w:val="000000"/>
          <w:shd w:val="clear" w:color="auto" w:fill="FFFFFF"/>
        </w:rPr>
        <w:t>closure-in-place</w:t>
      </w:r>
      <w:r w:rsidR="00230096" w:rsidRPr="000617C3">
        <w:rPr>
          <w:rStyle w:val="normaltextrun"/>
          <w:rFonts w:cs="Arial"/>
          <w:color w:val="000000"/>
          <w:shd w:val="clear" w:color="auto" w:fill="FFFFFF"/>
        </w:rPr>
        <w:t xml:space="preserve"> permits</w:t>
      </w:r>
      <w:r w:rsidR="0019003C" w:rsidRPr="000617C3">
        <w:rPr>
          <w:rStyle w:val="normaltextrun"/>
          <w:rFonts w:cs="Arial"/>
          <w:color w:val="000000"/>
          <w:shd w:val="clear" w:color="auto" w:fill="FFFFFF"/>
        </w:rPr>
        <w:t>,</w:t>
      </w:r>
      <w:r w:rsidR="00230096" w:rsidRPr="000617C3">
        <w:rPr>
          <w:rStyle w:val="normaltextrun"/>
          <w:rFonts w:cs="Arial"/>
          <w:color w:val="000000"/>
          <w:shd w:val="clear" w:color="auto" w:fill="FFFFFF"/>
        </w:rPr>
        <w:t xml:space="preserve"> </w:t>
      </w:r>
      <w:r w:rsidR="00F27689">
        <w:rPr>
          <w:rStyle w:val="normaltextrun"/>
          <w:rFonts w:cs="Arial"/>
          <w:color w:val="000000"/>
          <w:shd w:val="clear" w:color="auto" w:fill="FFFFFF"/>
        </w:rPr>
        <w:t>eight</w:t>
      </w:r>
      <w:r w:rsidR="00F27689" w:rsidRPr="000617C3">
        <w:rPr>
          <w:rStyle w:val="normaltextrun"/>
          <w:rFonts w:cs="Arial"/>
          <w:color w:val="000000"/>
          <w:shd w:val="clear" w:color="auto" w:fill="FFFFFF"/>
        </w:rPr>
        <w:t xml:space="preserve"> </w:t>
      </w:r>
      <w:r w:rsidR="00230096" w:rsidRPr="000617C3">
        <w:rPr>
          <w:rStyle w:val="normaltextrun"/>
          <w:rFonts w:cs="Arial"/>
          <w:color w:val="000000"/>
          <w:shd w:val="clear" w:color="auto" w:fill="FFFFFF"/>
        </w:rPr>
        <w:t xml:space="preserve">closure-by-removal permits, and </w:t>
      </w:r>
      <w:r w:rsidR="00F27689">
        <w:rPr>
          <w:rStyle w:val="normaltextrun"/>
          <w:rFonts w:cs="Arial"/>
          <w:color w:val="000000"/>
          <w:shd w:val="clear" w:color="auto" w:fill="FFFFFF"/>
        </w:rPr>
        <w:t>seven</w:t>
      </w:r>
      <w:r w:rsidR="00F27689" w:rsidRPr="000617C3">
        <w:rPr>
          <w:rStyle w:val="normaltextrun"/>
          <w:rFonts w:cs="Arial"/>
          <w:color w:val="000000"/>
          <w:shd w:val="clear" w:color="auto" w:fill="FFFFFF"/>
        </w:rPr>
        <w:t xml:space="preserve"> </w:t>
      </w:r>
      <w:r w:rsidR="00230096" w:rsidRPr="000617C3">
        <w:rPr>
          <w:rStyle w:val="normaltextrun"/>
          <w:rFonts w:cs="Arial"/>
          <w:color w:val="000000"/>
          <w:shd w:val="clear" w:color="auto" w:fill="FFFFFF"/>
        </w:rPr>
        <w:t>landfill permits.</w:t>
      </w:r>
      <w:r w:rsidR="0019003C" w:rsidRPr="000617C3">
        <w:rPr>
          <w:rStyle w:val="normaltextrun"/>
          <w:rFonts w:cs="Arial"/>
          <w:color w:val="000000"/>
          <w:shd w:val="clear" w:color="auto" w:fill="FFFFFF"/>
        </w:rPr>
        <w:t xml:space="preserve"> </w:t>
      </w:r>
      <w:r w:rsidR="00AC4FB8" w:rsidRPr="000617C3">
        <w:t xml:space="preserve">In November 2023, more than </w:t>
      </w:r>
      <w:r w:rsidR="00F27689">
        <w:t>two</w:t>
      </w:r>
      <w:r w:rsidR="00AC4FB8" w:rsidRPr="000617C3">
        <w:t xml:space="preserve"> years after the </w:t>
      </w:r>
      <w:r w:rsidR="002E36FD">
        <w:t>draft</w:t>
      </w:r>
      <w:r w:rsidR="002E36FD" w:rsidRPr="000617C3">
        <w:t xml:space="preserve"> </w:t>
      </w:r>
      <w:r w:rsidR="00AC4FB8" w:rsidRPr="000617C3">
        <w:t>permit was issued and following numerous discussions between Georgia EPD and EPA, Georgia EPD issued a final permit for Hammond AP-3, a closure-in-place unit.</w:t>
      </w:r>
      <w:r w:rsidR="00DC7539" w:rsidRPr="000617C3">
        <w:t xml:space="preserve"> The </w:t>
      </w:r>
      <w:r w:rsidR="00D73D60" w:rsidRPr="000617C3">
        <w:t xml:space="preserve">Georgia </w:t>
      </w:r>
      <w:r w:rsidR="00DC7539" w:rsidRPr="000617C3">
        <w:t xml:space="preserve">EPD has not issued any additional </w:t>
      </w:r>
      <w:r w:rsidR="00EC0BC7">
        <w:t xml:space="preserve">final </w:t>
      </w:r>
      <w:r w:rsidR="00DC7539" w:rsidRPr="000617C3">
        <w:t>permits since</w:t>
      </w:r>
      <w:r w:rsidR="00AD6611">
        <w:t xml:space="preserve"> 2023</w:t>
      </w:r>
      <w:r w:rsidR="00DC7539" w:rsidRPr="000617C3">
        <w:t>.</w:t>
      </w:r>
      <w:r w:rsidR="00FC6504" w:rsidRPr="000617C3">
        <w:t xml:space="preserve"> </w:t>
      </w:r>
      <w:r w:rsidR="00335476" w:rsidRPr="000617C3">
        <w:t>Early in 2024</w:t>
      </w:r>
      <w:r w:rsidR="00FD5553" w:rsidRPr="000617C3">
        <w:t xml:space="preserve">, EPA </w:t>
      </w:r>
      <w:r w:rsidR="00AD6611">
        <w:t>sent</w:t>
      </w:r>
      <w:r w:rsidR="00AD6611" w:rsidRPr="000617C3">
        <w:t xml:space="preserve"> </w:t>
      </w:r>
      <w:r w:rsidR="00BF4183">
        <w:t xml:space="preserve">Georgia </w:t>
      </w:r>
      <w:r w:rsidR="00FD5553" w:rsidRPr="000617C3">
        <w:t>EPD a letter questioning the issuance of the final permit</w:t>
      </w:r>
      <w:r w:rsidR="00790E38" w:rsidRPr="000617C3">
        <w:t xml:space="preserve"> for Hammond AP-3</w:t>
      </w:r>
      <w:r w:rsidR="00FD5553" w:rsidRPr="000617C3">
        <w:t xml:space="preserve"> and request</w:t>
      </w:r>
      <w:r w:rsidR="00B04504">
        <w:t>ing</w:t>
      </w:r>
      <w:r w:rsidR="00FD5553" w:rsidRPr="000617C3">
        <w:t xml:space="preserve"> continued communication on permit issuances.</w:t>
      </w:r>
      <w:r w:rsidR="007C14B7">
        <w:t xml:space="preserve"> </w:t>
      </w:r>
      <w:r w:rsidR="007976AC">
        <w:t xml:space="preserve">Georgia EPD responded to EPA </w:t>
      </w:r>
      <w:r w:rsidR="360F82C5">
        <w:t>w</w:t>
      </w:r>
      <w:r w:rsidR="007976AC">
        <w:t>i</w:t>
      </w:r>
      <w:r w:rsidR="360F82C5">
        <w:t xml:space="preserve">th information </w:t>
      </w:r>
      <w:r w:rsidR="478DEF9A" w:rsidRPr="10336B0B">
        <w:rPr>
          <w:rStyle w:val="normaltextrun"/>
          <w:rFonts w:cs="Arial"/>
          <w:color w:val="000000" w:themeColor="text1"/>
        </w:rPr>
        <w:t xml:space="preserve">defending </w:t>
      </w:r>
      <w:r w:rsidR="007976AC">
        <w:t>the permitting action.</w:t>
      </w:r>
      <w:r w:rsidR="430EDE41">
        <w:t xml:space="preserve"> </w:t>
      </w:r>
      <w:r w:rsidR="00932A18">
        <w:t xml:space="preserve">The EPA's </w:t>
      </w:r>
      <w:r w:rsidR="00440AD3">
        <w:t xml:space="preserve">engagement in the permitting process and </w:t>
      </w:r>
      <w:r w:rsidR="00932A18">
        <w:t>revised interpretations, years after</w:t>
      </w:r>
      <w:r w:rsidR="00142F64" w:rsidRPr="000617C3">
        <w:t xml:space="preserve"> the </w:t>
      </w:r>
      <w:r w:rsidR="00932A18">
        <w:t xml:space="preserve">original rule was established, hinder </w:t>
      </w:r>
      <w:r w:rsidR="00F27689">
        <w:t xml:space="preserve">Georgia </w:t>
      </w:r>
      <w:r w:rsidR="00932A18">
        <w:t>EPD</w:t>
      </w:r>
      <w:r w:rsidR="00F27689">
        <w:t>’</w:t>
      </w:r>
      <w:r w:rsidR="00932A18">
        <w:t>s progress in issuing permits.</w:t>
      </w:r>
      <w:r w:rsidR="00940687">
        <w:t xml:space="preserve"> For example</w:t>
      </w:r>
      <w:r w:rsidR="006430D9">
        <w:t xml:space="preserve">, in July 2024, </w:t>
      </w:r>
      <w:r w:rsidR="003E1788" w:rsidRPr="000617C3">
        <w:t>EPA</w:t>
      </w:r>
      <w:r w:rsidR="00940687">
        <w:t xml:space="preserve"> provided comments on</w:t>
      </w:r>
      <w:r w:rsidR="00A814D2" w:rsidRPr="000617C3">
        <w:t xml:space="preserve"> the draft</w:t>
      </w:r>
      <w:r w:rsidR="00D809DB" w:rsidRPr="000617C3">
        <w:t xml:space="preserve"> Wansley AP-1 </w:t>
      </w:r>
      <w:r w:rsidR="003553DA">
        <w:t xml:space="preserve">closure-by-removal </w:t>
      </w:r>
      <w:r w:rsidR="00D809DB" w:rsidRPr="000617C3">
        <w:t xml:space="preserve">permit questioning the </w:t>
      </w:r>
      <w:r w:rsidR="0094158F" w:rsidRPr="000617C3">
        <w:t xml:space="preserve">efficacy of the </w:t>
      </w:r>
      <w:r w:rsidR="00A814D2" w:rsidRPr="000617C3">
        <w:t xml:space="preserve">well network and </w:t>
      </w:r>
      <w:r w:rsidR="00440AD3">
        <w:t>ultimate</w:t>
      </w:r>
      <w:r w:rsidR="00940687" w:rsidRPr="000617C3">
        <w:t xml:space="preserve"> </w:t>
      </w:r>
      <w:r w:rsidR="00A814D2" w:rsidRPr="000617C3">
        <w:t>issuance of the draft permit.</w:t>
      </w:r>
      <w:r w:rsidR="00142F64" w:rsidRPr="000617C3">
        <w:t xml:space="preserve"> D</w:t>
      </w:r>
      <w:r w:rsidR="00335476" w:rsidRPr="000617C3">
        <w:t>iscussions on Georgia’s CCR program are expected to continue</w:t>
      </w:r>
      <w:r w:rsidR="00D73D60" w:rsidRPr="000617C3">
        <w:t xml:space="preserve"> into 2025</w:t>
      </w:r>
      <w:r w:rsidR="00335476" w:rsidRPr="000617C3">
        <w:t xml:space="preserve">, </w:t>
      </w:r>
      <w:r w:rsidR="008538EF">
        <w:t>regarding</w:t>
      </w:r>
      <w:r w:rsidR="0059661A">
        <w:t xml:space="preserve"> EPA’s</w:t>
      </w:r>
      <w:r w:rsidR="00335476" w:rsidRPr="000617C3">
        <w:t xml:space="preserve"> positions first expressed in the January 2022 determinations for facilities outside of Georgia and in subsequent actions related to closure performance standards, groundwater monitoring, and corrective action</w:t>
      </w:r>
      <w:r w:rsidR="00B44DBB" w:rsidRPr="000617C3">
        <w:t>.</w:t>
      </w:r>
      <w:r w:rsidR="00FD5553" w:rsidRPr="000617C3">
        <w:t xml:space="preserve"> </w:t>
      </w:r>
      <w:r w:rsidR="00FD3001" w:rsidRPr="000617C3">
        <w:t xml:space="preserve">With </w:t>
      </w:r>
      <w:r w:rsidR="00E0617A" w:rsidRPr="000617C3">
        <w:t>additional</w:t>
      </w:r>
      <w:r w:rsidR="00A52CA6" w:rsidRPr="000617C3">
        <w:t xml:space="preserve"> developments expected in </w:t>
      </w:r>
      <w:r w:rsidR="00014672" w:rsidRPr="000617C3">
        <w:t xml:space="preserve">2025 </w:t>
      </w:r>
      <w:r w:rsidR="00A52CA6" w:rsidRPr="000617C3">
        <w:t xml:space="preserve">related to </w:t>
      </w:r>
      <w:r w:rsidR="00C91EBF" w:rsidRPr="000617C3">
        <w:t xml:space="preserve">a </w:t>
      </w:r>
      <w:r w:rsidR="00457AE3" w:rsidRPr="000617C3">
        <w:t xml:space="preserve">CCR </w:t>
      </w:r>
      <w:r w:rsidR="00C91EBF" w:rsidRPr="000617C3">
        <w:t xml:space="preserve">federal </w:t>
      </w:r>
      <w:r w:rsidR="00F0133A" w:rsidRPr="000617C3">
        <w:t>permit program</w:t>
      </w:r>
      <w:r w:rsidR="00100C59" w:rsidRPr="000617C3">
        <w:t>,</w:t>
      </w:r>
      <w:r w:rsidR="00F0133A" w:rsidRPr="000617C3">
        <w:t xml:space="preserve"> </w:t>
      </w:r>
      <w:r w:rsidR="00100C59" w:rsidRPr="000617C3">
        <w:t xml:space="preserve">CCR </w:t>
      </w:r>
      <w:r w:rsidR="00F27689">
        <w:t>L</w:t>
      </w:r>
      <w:r w:rsidR="00F27689" w:rsidRPr="000617C3">
        <w:t xml:space="preserve">egacy </w:t>
      </w:r>
      <w:r w:rsidR="00F27689">
        <w:t>R</w:t>
      </w:r>
      <w:r w:rsidR="00F0133A" w:rsidRPr="000617C3">
        <w:t xml:space="preserve">ule </w:t>
      </w:r>
      <w:r w:rsidR="00100C59" w:rsidRPr="000617C3">
        <w:t>compliance</w:t>
      </w:r>
      <w:r w:rsidR="00E0617A" w:rsidRPr="000617C3">
        <w:t>,</w:t>
      </w:r>
      <w:r w:rsidR="00457AE3" w:rsidRPr="000617C3">
        <w:t xml:space="preserve"> </w:t>
      </w:r>
      <w:r w:rsidR="00E0617A" w:rsidRPr="000617C3">
        <w:t>litigation</w:t>
      </w:r>
      <w:r w:rsidR="00457AE3" w:rsidRPr="000617C3">
        <w:t>, and other EPA actions</w:t>
      </w:r>
      <w:r w:rsidR="00FD3001" w:rsidRPr="000617C3">
        <w:t>,</w:t>
      </w:r>
      <w:r w:rsidR="00B80368" w:rsidRPr="000617C3">
        <w:t xml:space="preserve"> </w:t>
      </w:r>
      <w:r w:rsidR="00693319" w:rsidRPr="000617C3">
        <w:t xml:space="preserve">Georgia Power remains committed to working with Georgia EPD on the </w:t>
      </w:r>
      <w:r w:rsidR="00B80368" w:rsidRPr="000617C3">
        <w:t xml:space="preserve">issuance of the </w:t>
      </w:r>
      <w:r w:rsidR="00693319" w:rsidRPr="000617C3">
        <w:t>remaining CCR permits</w:t>
      </w:r>
      <w:r w:rsidR="00E43542" w:rsidRPr="000617C3">
        <w:t xml:space="preserve">, as required by the </w:t>
      </w:r>
      <w:r w:rsidR="00F139DD" w:rsidRPr="000617C3">
        <w:t>Georgia</w:t>
      </w:r>
      <w:r w:rsidR="00E43542" w:rsidRPr="000617C3">
        <w:t xml:space="preserve"> CCR Rule</w:t>
      </w:r>
      <w:r w:rsidR="002A2DB1" w:rsidRPr="000617C3">
        <w:t>.</w:t>
      </w:r>
      <w:r w:rsidR="00652811">
        <w:rPr>
          <w:iCs/>
        </w:rPr>
        <w:t xml:space="preserve"> </w:t>
      </w:r>
    </w:p>
    <w:p w14:paraId="025A755E" w14:textId="34D30206" w:rsidR="0003183D" w:rsidRDefault="00C65894" w:rsidP="004E60BF">
      <w:r>
        <w:rPr>
          <w:rFonts w:eastAsia="Arial"/>
        </w:rPr>
        <w:lastRenderedPageBreak/>
        <w:t>R</w:t>
      </w:r>
      <w:r w:rsidR="00A337A5">
        <w:rPr>
          <w:rFonts w:eastAsia="Arial"/>
        </w:rPr>
        <w:t xml:space="preserve">egardless of </w:t>
      </w:r>
      <w:r w:rsidR="00BD3A39">
        <w:rPr>
          <w:rFonts w:eastAsia="Arial"/>
        </w:rPr>
        <w:t xml:space="preserve">the timing of </w:t>
      </w:r>
      <w:r w:rsidR="00A337A5">
        <w:rPr>
          <w:rFonts w:eastAsia="Arial"/>
        </w:rPr>
        <w:t>permit issuance</w:t>
      </w:r>
      <w:r w:rsidR="003A6925">
        <w:rPr>
          <w:rFonts w:eastAsia="Arial"/>
        </w:rPr>
        <w:t xml:space="preserve">, </w:t>
      </w:r>
      <w:proofErr w:type="gramStart"/>
      <w:r w:rsidR="003A6925">
        <w:rPr>
          <w:rFonts w:eastAsia="Arial"/>
        </w:rPr>
        <w:t>i</w:t>
      </w:r>
      <w:r w:rsidR="008F0059" w:rsidRPr="3D2C2AF0">
        <w:rPr>
          <w:rFonts w:eastAsia="Arial"/>
        </w:rPr>
        <w:t>n order to</w:t>
      </w:r>
      <w:proofErr w:type="gramEnd"/>
      <w:r w:rsidR="008F0059" w:rsidRPr="3D2C2AF0">
        <w:rPr>
          <w:rFonts w:eastAsia="Arial"/>
        </w:rPr>
        <w:t xml:space="preserve"> </w:t>
      </w:r>
      <w:r w:rsidR="008F0059">
        <w:rPr>
          <w:rFonts w:eastAsia="Arial"/>
        </w:rPr>
        <w:t xml:space="preserve">advance ash pond closures and </w:t>
      </w:r>
      <w:r w:rsidR="008F0059" w:rsidRPr="3D2C2AF0">
        <w:rPr>
          <w:rFonts w:eastAsia="Arial"/>
        </w:rPr>
        <w:t xml:space="preserve">meet the </w:t>
      </w:r>
      <w:r w:rsidR="00603E48">
        <w:rPr>
          <w:rFonts w:eastAsia="Arial"/>
        </w:rPr>
        <w:t>closure</w:t>
      </w:r>
      <w:r w:rsidR="008F0059" w:rsidRPr="00A622F9">
        <w:rPr>
          <w:rFonts w:eastAsia="Arial"/>
        </w:rPr>
        <w:t xml:space="preserve"> deadlines associated with the F</w:t>
      </w:r>
      <w:r w:rsidR="008F0059" w:rsidRPr="00CF2EE0">
        <w:rPr>
          <w:rFonts w:eastAsia="Arial"/>
        </w:rPr>
        <w:t>ederal CCR Rule</w:t>
      </w:r>
      <w:r w:rsidR="00072656">
        <w:rPr>
          <w:rFonts w:eastAsia="Arial"/>
        </w:rPr>
        <w:t xml:space="preserve">, </w:t>
      </w:r>
      <w:r w:rsidR="008F0059" w:rsidRPr="00CF2EE0">
        <w:rPr>
          <w:rFonts w:eastAsia="Arial"/>
        </w:rPr>
        <w:t>Georgia CCR Rule</w:t>
      </w:r>
      <w:r w:rsidR="00A337A5">
        <w:rPr>
          <w:rFonts w:eastAsia="Arial"/>
        </w:rPr>
        <w:t>,</w:t>
      </w:r>
      <w:r w:rsidR="00072656">
        <w:rPr>
          <w:rFonts w:eastAsia="Arial"/>
        </w:rPr>
        <w:t xml:space="preserve"> </w:t>
      </w:r>
      <w:r w:rsidR="00603E48">
        <w:rPr>
          <w:rFonts w:eastAsia="Arial"/>
        </w:rPr>
        <w:t xml:space="preserve">or agreement with the </w:t>
      </w:r>
      <w:r w:rsidR="00F27689">
        <w:rPr>
          <w:rFonts w:eastAsia="Arial"/>
        </w:rPr>
        <w:t xml:space="preserve">Georgia </w:t>
      </w:r>
      <w:r w:rsidR="00603E48">
        <w:rPr>
          <w:rFonts w:eastAsia="Arial"/>
        </w:rPr>
        <w:t>EPD</w:t>
      </w:r>
      <w:r w:rsidR="008F0059" w:rsidRPr="00CF2EE0">
        <w:rPr>
          <w:rFonts w:eastAsia="Arial"/>
        </w:rPr>
        <w:t xml:space="preserve">, the Company must </w:t>
      </w:r>
      <w:r w:rsidR="008F0059">
        <w:rPr>
          <w:rFonts w:eastAsia="Arial"/>
        </w:rPr>
        <w:t xml:space="preserve">continue to </w:t>
      </w:r>
      <w:r w:rsidR="008F0059" w:rsidRPr="00CF2EE0">
        <w:rPr>
          <w:rFonts w:eastAsia="Arial"/>
        </w:rPr>
        <w:t>proceed with work, includ</w:t>
      </w:r>
      <w:r w:rsidR="008F0059" w:rsidRPr="00F860E2">
        <w:rPr>
          <w:rFonts w:eastAsia="Arial"/>
        </w:rPr>
        <w:t>ing groundwate</w:t>
      </w:r>
      <w:r w:rsidR="008F0059" w:rsidRPr="008564ED">
        <w:rPr>
          <w:rFonts w:eastAsia="Arial"/>
        </w:rPr>
        <w:t xml:space="preserve">r monitoring, detailed engineering designs, </w:t>
      </w:r>
      <w:r w:rsidR="008F0059" w:rsidRPr="00B33FE3">
        <w:rPr>
          <w:rFonts w:eastAsia="Arial"/>
        </w:rPr>
        <w:t>construction activities, as well as develop and implement site-specific and comprehensive ash pond dewatering processes</w:t>
      </w:r>
      <w:r w:rsidR="008F0059" w:rsidRPr="00A622F9">
        <w:rPr>
          <w:rFonts w:eastAsia="Arial"/>
        </w:rPr>
        <w:t>.</w:t>
      </w:r>
      <w:r w:rsidR="008F0059">
        <w:rPr>
          <w:rFonts w:eastAsia="Arial"/>
        </w:rPr>
        <w:t xml:space="preserve"> </w:t>
      </w:r>
      <w:r w:rsidR="00710382">
        <w:t xml:space="preserve">In certain instances, </w:t>
      </w:r>
      <w:r w:rsidR="00235341">
        <w:t xml:space="preserve">specific </w:t>
      </w:r>
      <w:r w:rsidR="00710382">
        <w:t xml:space="preserve">portions of the closure plans </w:t>
      </w:r>
      <w:r w:rsidR="00D46F6B">
        <w:t xml:space="preserve">are </w:t>
      </w:r>
      <w:r w:rsidR="00235341">
        <w:t xml:space="preserve">pending </w:t>
      </w:r>
      <w:r w:rsidR="00F27689">
        <w:t xml:space="preserve">Georgia </w:t>
      </w:r>
      <w:r w:rsidR="00D46F6B">
        <w:t xml:space="preserve">EPD </w:t>
      </w:r>
      <w:r w:rsidR="00811DA5">
        <w:t xml:space="preserve">review and input through the </w:t>
      </w:r>
      <w:r w:rsidR="00D46F6B">
        <w:t xml:space="preserve">permitting </w:t>
      </w:r>
      <w:r w:rsidR="00811DA5">
        <w:t xml:space="preserve">process </w:t>
      </w:r>
      <w:proofErr w:type="gramStart"/>
      <w:r w:rsidR="00D46F6B">
        <w:t>in order to</w:t>
      </w:r>
      <w:proofErr w:type="gramEnd"/>
      <w:r w:rsidR="00D46F6B">
        <w:t xml:space="preserve"> finalize designs</w:t>
      </w:r>
      <w:r w:rsidR="00E37BAF">
        <w:t xml:space="preserve"> and/or implementation</w:t>
      </w:r>
      <w:r w:rsidR="00D46F6B">
        <w:t xml:space="preserve">. </w:t>
      </w:r>
      <w:r w:rsidR="007D06BD">
        <w:t>A</w:t>
      </w:r>
      <w:r w:rsidR="00E76A05">
        <w:t xml:space="preserve">t McDonough AP-1, </w:t>
      </w:r>
      <w:r w:rsidR="00835837">
        <w:t>while</w:t>
      </w:r>
      <w:r w:rsidR="00E76A05">
        <w:t xml:space="preserve"> </w:t>
      </w:r>
      <w:r w:rsidR="00C01F9F">
        <w:t>the closure is substantially complete</w:t>
      </w:r>
      <w:r w:rsidR="001B34E1">
        <w:t xml:space="preserve"> in accordance with CCR Rule requirements and deadlines</w:t>
      </w:r>
      <w:r w:rsidR="00C01F9F">
        <w:t xml:space="preserve">, </w:t>
      </w:r>
      <w:r w:rsidR="00F27689">
        <w:t xml:space="preserve">Georgia </w:t>
      </w:r>
      <w:r w:rsidR="009D54AD">
        <w:t xml:space="preserve">EPD review of the </w:t>
      </w:r>
      <w:r w:rsidR="00C01F9F">
        <w:t>design</w:t>
      </w:r>
      <w:r w:rsidR="00FA02E7">
        <w:t xml:space="preserve"> </w:t>
      </w:r>
      <w:r w:rsidR="00F97381" w:rsidRPr="00F97381">
        <w:t xml:space="preserve">of </w:t>
      </w:r>
      <w:r w:rsidR="00E37BAF">
        <w:t>the</w:t>
      </w:r>
      <w:r w:rsidR="00F97381" w:rsidRPr="00F97381">
        <w:t xml:space="preserve"> fully encompassing barrier wall</w:t>
      </w:r>
      <w:r w:rsidR="00E37BAF">
        <w:t xml:space="preserve"> is </w:t>
      </w:r>
      <w:r w:rsidR="009D54AD">
        <w:t>ongoing</w:t>
      </w:r>
      <w:r w:rsidR="00F97381" w:rsidRPr="00F97381">
        <w:t xml:space="preserve">. </w:t>
      </w:r>
      <w:r w:rsidR="00495734" w:rsidRPr="007D2636">
        <w:t xml:space="preserve">Therefore, recognizing these factors are beyond the Company’s control, </w:t>
      </w:r>
      <w:r w:rsidR="00F27689">
        <w:t xml:space="preserve">Georgia </w:t>
      </w:r>
      <w:r w:rsidR="00B07503" w:rsidRPr="007D2636">
        <w:t xml:space="preserve">EPD </w:t>
      </w:r>
      <w:r w:rsidR="00495734" w:rsidRPr="007D2636">
        <w:t>us</w:t>
      </w:r>
      <w:r w:rsidR="00495734">
        <w:t>ed</w:t>
      </w:r>
      <w:r w:rsidR="00495734" w:rsidRPr="007D2636">
        <w:t xml:space="preserve"> </w:t>
      </w:r>
      <w:r w:rsidR="00495734">
        <w:t>the</w:t>
      </w:r>
      <w:r w:rsidR="00495734" w:rsidRPr="007D2636">
        <w:t xml:space="preserve"> consent order </w:t>
      </w:r>
      <w:r w:rsidR="00DC3252">
        <w:t xml:space="preserve">process </w:t>
      </w:r>
      <w:r w:rsidR="00495734" w:rsidRPr="007D2636">
        <w:t>to provide additional time to complete the closure while finaliz</w:t>
      </w:r>
      <w:r w:rsidR="00495734">
        <w:t>ing</w:t>
      </w:r>
      <w:r w:rsidR="00495734" w:rsidRPr="007D2636">
        <w:t xml:space="preserve"> permit</w:t>
      </w:r>
      <w:r w:rsidR="00495734">
        <w:t>ting</w:t>
      </w:r>
      <w:r w:rsidR="00495734" w:rsidRPr="007D2636">
        <w:t xml:space="preserve">. </w:t>
      </w:r>
      <w:r w:rsidR="00F6538F">
        <w:t>I</w:t>
      </w:r>
      <w:r w:rsidR="00C22C5D">
        <w:t xml:space="preserve">n December 2022, </w:t>
      </w:r>
      <w:r w:rsidR="00363F62">
        <w:t>the Company</w:t>
      </w:r>
      <w:r w:rsidR="00C22C5D">
        <w:t xml:space="preserve"> entered into a consent agreement with </w:t>
      </w:r>
      <w:r w:rsidR="00A43D7D">
        <w:t xml:space="preserve">Georgia </w:t>
      </w:r>
      <w:r w:rsidR="00C22C5D">
        <w:t>EPD to extend the closure timeline for McDonough AP-1</w:t>
      </w:r>
      <w:r w:rsidR="003A6C5D">
        <w:t>,</w:t>
      </w:r>
      <w:r w:rsidR="007A4108">
        <w:t xml:space="preserve"> </w:t>
      </w:r>
      <w:r w:rsidR="00DC3252">
        <w:t>and i</w:t>
      </w:r>
      <w:r w:rsidR="00DD185A">
        <w:t>n December 2023,</w:t>
      </w:r>
      <w:r w:rsidR="00B70E64">
        <w:t xml:space="preserve"> </w:t>
      </w:r>
      <w:r w:rsidR="00A43D7D">
        <w:t xml:space="preserve">Georgia </w:t>
      </w:r>
      <w:r w:rsidR="00B70E64">
        <w:t>EPD approved of the milestone schedule submitted by the Company</w:t>
      </w:r>
      <w:r w:rsidR="00393BB1">
        <w:t xml:space="preserve"> in fulfillment of the</w:t>
      </w:r>
      <w:r w:rsidR="004E574C">
        <w:t xml:space="preserve"> consent order requirements.</w:t>
      </w:r>
    </w:p>
    <w:p w14:paraId="0A28D4AA" w14:textId="77777777" w:rsidR="005E6EE3" w:rsidRDefault="0003183D" w:rsidP="004E60BF">
      <w:pPr>
        <w:rPr>
          <w:lang w:val="en"/>
        </w:rPr>
      </w:pPr>
      <w:r>
        <w:t>The Company</w:t>
      </w:r>
      <w:r w:rsidRPr="5A1D0B92">
        <w:t xml:space="preserve"> </w:t>
      </w:r>
      <w:r w:rsidRPr="00B339EB">
        <w:t xml:space="preserve">has provided landfill </w:t>
      </w:r>
      <w:r w:rsidRPr="006B6BF9">
        <w:t xml:space="preserve">and ash pond closure certifications </w:t>
      </w:r>
      <w:r w:rsidRPr="06B81C21">
        <w:t xml:space="preserve">and/or ash removal certifications </w:t>
      </w:r>
      <w:r w:rsidRPr="006B6BF9">
        <w:t xml:space="preserve">to </w:t>
      </w:r>
      <w:r>
        <w:t>Georgia</w:t>
      </w:r>
      <w:r w:rsidRPr="08F2E814">
        <w:t xml:space="preserve"> </w:t>
      </w:r>
      <w:r w:rsidRPr="006B6BF9">
        <w:t xml:space="preserve">EPD for </w:t>
      </w:r>
      <w:r>
        <w:t xml:space="preserve">certain </w:t>
      </w:r>
      <w:r w:rsidRPr="006B6BF9">
        <w:t xml:space="preserve">CCR Units at Plants Hammond, McDonough, McManus, </w:t>
      </w:r>
      <w:r>
        <w:t xml:space="preserve">McIntosh, </w:t>
      </w:r>
      <w:r w:rsidRPr="006B6BF9">
        <w:t>and Yates.</w:t>
      </w:r>
      <w:r w:rsidRPr="00B42F8C">
        <w:t xml:space="preserve"> These</w:t>
      </w:r>
      <w:r w:rsidRPr="0084296F">
        <w:t xml:space="preserve"> certifications document important information regarding the closure activities, quality control information, and verification of compliance with the CCR rule</w:t>
      </w:r>
      <w:r w:rsidR="009D6947">
        <w:t>s</w:t>
      </w:r>
      <w:r w:rsidRPr="0084296F">
        <w:t xml:space="preserve">. </w:t>
      </w:r>
      <w:r>
        <w:t>Georgia</w:t>
      </w:r>
      <w:r w:rsidRPr="08F2E814">
        <w:t xml:space="preserve"> </w:t>
      </w:r>
      <w:r w:rsidRPr="006B6BF9">
        <w:t>EPD has issued acknowledgement letters for completion of CCR removal for</w:t>
      </w:r>
      <w:r>
        <w:t xml:space="preserve"> certain CCR Units at</w:t>
      </w:r>
      <w:r w:rsidRPr="006B6BF9">
        <w:t xml:space="preserve"> Plants McManus, McDonough</w:t>
      </w:r>
      <w:r>
        <w:t>, McIntosh,</w:t>
      </w:r>
      <w:r w:rsidRPr="006B6BF9">
        <w:t xml:space="preserve"> </w:t>
      </w:r>
      <w:r w:rsidRPr="006D3174">
        <w:rPr>
          <w:lang w:val="en"/>
        </w:rPr>
        <w:t>and Yates</w:t>
      </w:r>
      <w:r w:rsidRPr="000355BA">
        <w:rPr>
          <w:lang w:val="en"/>
        </w:rPr>
        <w:t xml:space="preserve">, demonstrating the Company’s compliance with the </w:t>
      </w:r>
      <w:r w:rsidR="00544F48">
        <w:rPr>
          <w:lang w:val="en"/>
        </w:rPr>
        <w:t>Georgia</w:t>
      </w:r>
      <w:r w:rsidR="009306A0" w:rsidRPr="000355BA">
        <w:rPr>
          <w:lang w:val="en"/>
        </w:rPr>
        <w:t xml:space="preserve"> </w:t>
      </w:r>
      <w:r w:rsidRPr="000355BA">
        <w:rPr>
          <w:lang w:val="en"/>
        </w:rPr>
        <w:t xml:space="preserve">CCR </w:t>
      </w:r>
      <w:r w:rsidR="00544F48">
        <w:rPr>
          <w:lang w:val="en"/>
        </w:rPr>
        <w:t>R</w:t>
      </w:r>
      <w:r w:rsidRPr="000355BA">
        <w:rPr>
          <w:lang w:val="en"/>
        </w:rPr>
        <w:t>ule’s closure requirements as well as Georgia EPD’s active oversight regardless of final permit status.</w:t>
      </w:r>
      <w:r w:rsidR="00B57EF1">
        <w:rPr>
          <w:lang w:val="en"/>
        </w:rPr>
        <w:t xml:space="preserve"> </w:t>
      </w:r>
      <w:r w:rsidR="00CE5850">
        <w:rPr>
          <w:lang w:val="en"/>
        </w:rPr>
        <w:t>Additionally in</w:t>
      </w:r>
      <w:r w:rsidR="00A23B26">
        <w:rPr>
          <w:lang w:val="en"/>
        </w:rPr>
        <w:t xml:space="preserve"> late 2024</w:t>
      </w:r>
      <w:r w:rsidR="00B57EF1">
        <w:rPr>
          <w:lang w:val="en"/>
        </w:rPr>
        <w:t xml:space="preserve">, </w:t>
      </w:r>
      <w:r w:rsidR="004B5948">
        <w:rPr>
          <w:lang w:val="en"/>
        </w:rPr>
        <w:t>Georgia</w:t>
      </w:r>
      <w:r w:rsidR="00B57EF1">
        <w:rPr>
          <w:lang w:val="en"/>
        </w:rPr>
        <w:t xml:space="preserve"> EPD </w:t>
      </w:r>
      <w:r w:rsidR="004B5948">
        <w:rPr>
          <w:lang w:val="en"/>
        </w:rPr>
        <w:t>released</w:t>
      </w:r>
      <w:r w:rsidR="00B57EF1">
        <w:rPr>
          <w:lang w:val="en"/>
        </w:rPr>
        <w:t xml:space="preserve"> the Company </w:t>
      </w:r>
      <w:r w:rsidR="00A23B26">
        <w:rPr>
          <w:lang w:val="en"/>
        </w:rPr>
        <w:t>from</w:t>
      </w:r>
      <w:r w:rsidR="00B57EF1">
        <w:rPr>
          <w:lang w:val="en"/>
        </w:rPr>
        <w:t xml:space="preserve"> its solid waste handling permit at </w:t>
      </w:r>
      <w:r w:rsidR="004B5948">
        <w:rPr>
          <w:lang w:val="en"/>
        </w:rPr>
        <w:t>Plant Yates Gypsum Landfill</w:t>
      </w:r>
      <w:r w:rsidR="008039CC">
        <w:rPr>
          <w:lang w:val="en"/>
        </w:rPr>
        <w:t xml:space="preserve"> </w:t>
      </w:r>
      <w:r w:rsidR="00013377">
        <w:rPr>
          <w:lang w:val="en"/>
        </w:rPr>
        <w:t>designating the former CCR Landfill as closed</w:t>
      </w:r>
      <w:r w:rsidR="004B5948">
        <w:rPr>
          <w:lang w:val="en"/>
        </w:rPr>
        <w:t xml:space="preserve">. </w:t>
      </w:r>
    </w:p>
    <w:p w14:paraId="0092EA36" w14:textId="1E1157A6" w:rsidR="009976FD" w:rsidRPr="009976FD" w:rsidRDefault="00B57EF1" w:rsidP="004E60BF">
      <w:r w:rsidRPr="5AE89AFB">
        <w:t xml:space="preserve"> </w:t>
      </w:r>
      <w:r w:rsidR="003F0DC9" w:rsidRPr="00FB1CFC">
        <w:rPr>
          <w:lang w:val="en"/>
        </w:rPr>
        <w:t xml:space="preserve">The </w:t>
      </w:r>
      <w:r w:rsidR="003F0DC9">
        <w:rPr>
          <w:lang w:val="en"/>
        </w:rPr>
        <w:t xml:space="preserve">purpose of the </w:t>
      </w:r>
      <w:r w:rsidR="003F0DC9" w:rsidRPr="00FB1CFC">
        <w:rPr>
          <w:lang w:val="en"/>
        </w:rPr>
        <w:t>Company’s CCR compliance strategy process is to produce cost-effective</w:t>
      </w:r>
      <w:r w:rsidR="003F0DC9" w:rsidRPr="00D94266">
        <w:rPr>
          <w:rFonts w:cs="Arial"/>
          <w:szCs w:val="24"/>
        </w:rPr>
        <w:t xml:space="preserve"> compliance solutions that will </w:t>
      </w:r>
      <w:r w:rsidR="003F0DC9" w:rsidRPr="0007236B">
        <w:rPr>
          <w:rFonts w:cs="Arial"/>
          <w:szCs w:val="24"/>
        </w:rPr>
        <w:t>minimiz</w:t>
      </w:r>
      <w:r w:rsidR="003F0DC9">
        <w:rPr>
          <w:rFonts w:cs="Arial"/>
          <w:szCs w:val="24"/>
        </w:rPr>
        <w:t>e</w:t>
      </w:r>
      <w:r w:rsidR="003F0DC9" w:rsidRPr="00C20473">
        <w:rPr>
          <w:rFonts w:cs="Arial"/>
          <w:szCs w:val="24"/>
        </w:rPr>
        <w:t xml:space="preserve"> the </w:t>
      </w:r>
      <w:r w:rsidR="003F0DC9" w:rsidRPr="00C107D0">
        <w:rPr>
          <w:rFonts w:cs="Arial"/>
          <w:szCs w:val="24"/>
        </w:rPr>
        <w:t>impact to customers while ach</w:t>
      </w:r>
      <w:r w:rsidR="003F0DC9" w:rsidRPr="005A19C3">
        <w:rPr>
          <w:rFonts w:cs="Arial"/>
          <w:szCs w:val="24"/>
        </w:rPr>
        <w:t>ieving environmental objectives and ensuring compliance with all requirements.</w:t>
      </w:r>
      <w:r w:rsidR="003F0DC9">
        <w:rPr>
          <w:rFonts w:cs="Arial"/>
          <w:szCs w:val="24"/>
        </w:rPr>
        <w:t xml:space="preserve"> </w:t>
      </w:r>
      <w:r w:rsidR="00524145" w:rsidRPr="009976FD">
        <w:t>The</w:t>
      </w:r>
      <w:r w:rsidR="00B769BF">
        <w:t xml:space="preserve"> multiple</w:t>
      </w:r>
      <w:r w:rsidR="00524145" w:rsidRPr="009976FD">
        <w:t xml:space="preserve"> ongoing judicial review</w:t>
      </w:r>
      <w:r w:rsidR="009976FD">
        <w:t>s of CCR regulations</w:t>
      </w:r>
      <w:r w:rsidR="00524145" w:rsidRPr="009976FD">
        <w:t xml:space="preserve"> introduce a significant degree of uncertainty regarding future regulatory requirements. This uncertainty complicates long-term planning, as legal interpretations and regulatory standards may shift based on court rulings. The Company remains vigilant in monitoring these developments, understanding that the outcomes </w:t>
      </w:r>
      <w:r w:rsidR="00311B98">
        <w:t>may</w:t>
      </w:r>
      <w:r w:rsidR="00524145" w:rsidRPr="009976FD">
        <w:t xml:space="preserve"> impact compliance strategies</w:t>
      </w:r>
      <w:r w:rsidR="009976FD">
        <w:t xml:space="preserve">. </w:t>
      </w:r>
      <w:r w:rsidR="009976FD" w:rsidRPr="00063FA5">
        <w:rPr>
          <w:rFonts w:cs="Arial"/>
          <w:szCs w:val="24"/>
        </w:rPr>
        <w:t>While uncertainty</w:t>
      </w:r>
      <w:r w:rsidR="009976FD" w:rsidRPr="00B6256D">
        <w:rPr>
          <w:rFonts w:cs="Arial"/>
          <w:szCs w:val="24"/>
        </w:rPr>
        <w:t xml:space="preserve"> around EPA’s interpretation of the Federal CCR Rule requirements continues, </w:t>
      </w:r>
      <w:r w:rsidR="009976FD" w:rsidRPr="00B6256D">
        <w:rPr>
          <w:lang w:val="en"/>
        </w:rPr>
        <w:t xml:space="preserve">the Company remains focused on compliance and will continue to work with the Georgia EPD to ensure </w:t>
      </w:r>
      <w:r w:rsidR="009976FD" w:rsidRPr="00B6256D">
        <w:rPr>
          <w:rFonts w:eastAsia="Times New Roman"/>
        </w:rPr>
        <w:t>safe and effective closure of all ash ponds.</w:t>
      </w:r>
      <w:r w:rsidR="00BB39ED" w:rsidRPr="00B6256D">
        <w:rPr>
          <w:rFonts w:eastAsia="Times New Roman"/>
        </w:rPr>
        <w:t xml:space="preserve"> The Company’s closure plans </w:t>
      </w:r>
      <w:r w:rsidR="00FE2231" w:rsidRPr="00B6256D">
        <w:rPr>
          <w:rFonts w:eastAsia="Times New Roman"/>
        </w:rPr>
        <w:t>are safe and protective of human health and the environment</w:t>
      </w:r>
      <w:r w:rsidR="00740534" w:rsidRPr="00B6256D">
        <w:rPr>
          <w:rFonts w:eastAsia="Times New Roman"/>
        </w:rPr>
        <w:t xml:space="preserve">. </w:t>
      </w:r>
      <w:r w:rsidR="00696FBC" w:rsidRPr="00B6256D">
        <w:rPr>
          <w:rFonts w:eastAsia="Times New Roman"/>
        </w:rPr>
        <w:t xml:space="preserve">In compliance with the regulatory requirements, the closures </w:t>
      </w:r>
      <w:r w:rsidR="00FE2231" w:rsidRPr="00B6256D">
        <w:rPr>
          <w:rFonts w:eastAsia="Times New Roman"/>
        </w:rPr>
        <w:t>will continue to be monitored throughout closure and for years into the future.</w:t>
      </w:r>
    </w:p>
    <w:p w14:paraId="01804410" w14:textId="63141205" w:rsidR="005C1ED8" w:rsidRPr="009749A9" w:rsidRDefault="00E90288" w:rsidP="0081189F">
      <w:pPr>
        <w:pStyle w:val="Smallheading3notoc"/>
        <w:rPr>
          <w:rFonts w:eastAsia="Times New Roman"/>
        </w:rPr>
      </w:pPr>
      <w:bookmarkStart w:id="42" w:name="_Toc122090011"/>
      <w:bookmarkStart w:id="43" w:name="_Toc122090802"/>
      <w:bookmarkStart w:id="44" w:name="_Toc94197916"/>
      <w:r w:rsidRPr="0081189F">
        <w:rPr>
          <w:rStyle w:val="Emphasis"/>
          <w:i w:val="0"/>
          <w:sz w:val="22"/>
          <w:u w:val="none"/>
        </w:rPr>
        <w:t>Dewatering and Water Treatmen</w:t>
      </w:r>
      <w:bookmarkEnd w:id="42"/>
      <w:bookmarkEnd w:id="43"/>
      <w:r w:rsidR="009749A9" w:rsidRPr="0081189F">
        <w:rPr>
          <w:rStyle w:val="Emphasis"/>
          <w:i w:val="0"/>
          <w:sz w:val="22"/>
          <w:u w:val="none"/>
        </w:rPr>
        <w:t>t</w:t>
      </w:r>
    </w:p>
    <w:p w14:paraId="656C6F87" w14:textId="7A528F2B" w:rsidR="00DD0842" w:rsidRPr="00DD0842" w:rsidRDefault="00DD0842" w:rsidP="004E60BF">
      <w:r>
        <w:rPr>
          <w:lang w:val="en"/>
        </w:rPr>
        <w:t>The Com</w:t>
      </w:r>
      <w:r w:rsidR="00EA240C" w:rsidRPr="003D640E">
        <w:rPr>
          <w:lang w:val="en"/>
        </w:rPr>
        <w:t xml:space="preserve">pany’s dewatering process during ash pond closures involves treating all </w:t>
      </w:r>
      <w:r w:rsidR="00560A9A">
        <w:rPr>
          <w:lang w:val="en"/>
        </w:rPr>
        <w:t xml:space="preserve">ash </w:t>
      </w:r>
      <w:r w:rsidR="00EA240C" w:rsidRPr="003D640E">
        <w:rPr>
          <w:lang w:val="en"/>
        </w:rPr>
        <w:t xml:space="preserve">contact water to meet the requirements of each plant’s wastewater permit, as well as the associated dewatering plans approved by </w:t>
      </w:r>
      <w:r w:rsidR="00A43D7D">
        <w:rPr>
          <w:lang w:val="en"/>
        </w:rPr>
        <w:t>Georgia</w:t>
      </w:r>
      <w:r w:rsidR="00A43D7D" w:rsidRPr="003D640E">
        <w:rPr>
          <w:lang w:val="en"/>
        </w:rPr>
        <w:t xml:space="preserve"> </w:t>
      </w:r>
      <w:r w:rsidR="00EA240C" w:rsidRPr="003D640E">
        <w:rPr>
          <w:lang w:val="en"/>
        </w:rPr>
        <w:t xml:space="preserve">EPD, to ensure compliance with water quality standards. The dewatering activities occur under the direction of independent, third-party licensed </w:t>
      </w:r>
      <w:r w:rsidR="00EA240C" w:rsidRPr="00DE6998">
        <w:rPr>
          <w:lang w:val="en"/>
        </w:rPr>
        <w:t xml:space="preserve">wastewater treatment plant </w:t>
      </w:r>
      <w:r w:rsidR="00EA240C" w:rsidRPr="00DE6998">
        <w:rPr>
          <w:lang w:val="en"/>
        </w:rPr>
        <w:lastRenderedPageBreak/>
        <w:t>operators throughout the duration of each closure project.</w:t>
      </w:r>
      <w:r w:rsidR="00EA240C">
        <w:rPr>
          <w:lang w:val="en"/>
        </w:rPr>
        <w:t xml:space="preserve"> </w:t>
      </w:r>
      <w:r w:rsidR="00EA240C" w:rsidRPr="00DE6998">
        <w:rPr>
          <w:lang w:val="en"/>
        </w:rPr>
        <w:t>W</w:t>
      </w:r>
      <w:r w:rsidR="00EA240C" w:rsidRPr="003D640E">
        <w:rPr>
          <w:lang w:val="en"/>
        </w:rPr>
        <w:t xml:space="preserve">ater quality monitoring data is reported monthly to </w:t>
      </w:r>
      <w:r w:rsidR="00A43D7D">
        <w:rPr>
          <w:lang w:val="en"/>
        </w:rPr>
        <w:t>Georgia</w:t>
      </w:r>
      <w:r w:rsidR="00EA240C" w:rsidRPr="003D640E">
        <w:rPr>
          <w:lang w:val="en"/>
        </w:rPr>
        <w:t xml:space="preserve"> EPD, and a monthly summary is also placed on Georgia Power’s external website. In</w:t>
      </w:r>
      <w:r w:rsidR="00EA240C" w:rsidRPr="003D640E" w:rsidDel="00751F43">
        <w:rPr>
          <w:lang w:val="en"/>
        </w:rPr>
        <w:t xml:space="preserve"> </w:t>
      </w:r>
      <w:r w:rsidR="00EA240C" w:rsidRPr="003D640E">
        <w:rPr>
          <w:lang w:val="en"/>
        </w:rPr>
        <w:t xml:space="preserve">some cases, water treatment may continue into the </w:t>
      </w:r>
      <w:r w:rsidR="00EA240C">
        <w:rPr>
          <w:lang w:val="en"/>
        </w:rPr>
        <w:t>post-closure care (“</w:t>
      </w:r>
      <w:r w:rsidR="00EA240C" w:rsidRPr="003D640E">
        <w:rPr>
          <w:lang w:val="en"/>
        </w:rPr>
        <w:t>PCC</w:t>
      </w:r>
      <w:r w:rsidR="00EA240C">
        <w:rPr>
          <w:lang w:val="en"/>
        </w:rPr>
        <w:t>”)</w:t>
      </w:r>
      <w:r w:rsidR="00EA240C" w:rsidRPr="003D640E">
        <w:rPr>
          <w:lang w:val="en"/>
        </w:rPr>
        <w:t xml:space="preserve"> period to manage ongoing water treatment </w:t>
      </w:r>
      <w:r w:rsidR="00EA240C" w:rsidRPr="00DD0842">
        <w:t>requirements. This support will continue until the needs of the sites are addressed. In addition, the Company has engaged independent, third-party contractors for weekly effluent and bi-monthly receiving stream sampling throughout dewatering.</w:t>
      </w:r>
      <w:r w:rsidR="00EA240C" w:rsidRPr="00DD0842" w:rsidDel="005A13B2">
        <w:t xml:space="preserve"> </w:t>
      </w:r>
      <w:r w:rsidR="00EA240C" w:rsidRPr="00DD0842">
        <w:t xml:space="preserve">Samples collected by independent contractors are analyzed by accredited independent laboratories. </w:t>
      </w:r>
    </w:p>
    <w:p w14:paraId="6717C3CB" w14:textId="1D2311BE" w:rsidR="0052335E" w:rsidRDefault="00EA240C" w:rsidP="004E60BF">
      <w:pPr>
        <w:rPr>
          <w:lang w:val="en"/>
        </w:rPr>
      </w:pPr>
      <w:r w:rsidRPr="00DD0842">
        <w:t>The dewatering process is dynamic and complex. The treatment system demands are often impacted by rainfall</w:t>
      </w:r>
      <w:r w:rsidRPr="003D640E">
        <w:rPr>
          <w:lang w:val="en"/>
        </w:rPr>
        <w:t xml:space="preserve"> and site-specific closure conditions. For these reasons, the required treatment technologies may be different at each site and may change during the closure process to support the needs of the site, which may cause labor resources, operating schedules, and associated costs to fluctuate. The Company will adjust the individual site water treatment infrastructure to align with site needs </w:t>
      </w:r>
      <w:r>
        <w:rPr>
          <w:lang w:val="en"/>
        </w:rPr>
        <w:t>and regulatory requirements</w:t>
      </w:r>
      <w:r w:rsidRPr="003D640E">
        <w:rPr>
          <w:lang w:val="en"/>
        </w:rPr>
        <w:t xml:space="preserve"> during closure and post-closure as required. </w:t>
      </w:r>
    </w:p>
    <w:p w14:paraId="05C625A8" w14:textId="1CD2E3FF" w:rsidR="005A14EA" w:rsidRPr="0081189F" w:rsidRDefault="004C5887" w:rsidP="0081189F">
      <w:pPr>
        <w:pStyle w:val="Smallheading3notoc"/>
        <w:rPr>
          <w:lang w:val="en"/>
        </w:rPr>
      </w:pPr>
      <w:r w:rsidRPr="0081189F">
        <w:rPr>
          <w:rStyle w:val="Emphasis"/>
          <w:i w:val="0"/>
          <w:sz w:val="22"/>
          <w:u w:val="none"/>
        </w:rPr>
        <w:t xml:space="preserve">Groundwater Monitoring and Post Closure </w:t>
      </w:r>
      <w:bookmarkStart w:id="45" w:name="_Hlk115274284"/>
      <w:bookmarkStart w:id="46" w:name="_Toc122090012"/>
      <w:bookmarkStart w:id="47" w:name="_Toc122090803"/>
      <w:r w:rsidR="00285C44" w:rsidRPr="0081189F">
        <w:rPr>
          <w:rStyle w:val="Emphasis"/>
          <w:i w:val="0"/>
          <w:sz w:val="22"/>
          <w:u w:val="none"/>
        </w:rPr>
        <w:t>Care</w:t>
      </w:r>
    </w:p>
    <w:p w14:paraId="366C3E44" w14:textId="26DEA4F1" w:rsidR="00285C44" w:rsidRDefault="002723F6" w:rsidP="004E60BF">
      <w:r w:rsidRPr="003D640E">
        <w:t xml:space="preserve">Georgia Power continues to monitor groundwater at its ash ponds and CCR landfills and to report the results to </w:t>
      </w:r>
      <w:r w:rsidR="00A43D7D">
        <w:t>Georgia</w:t>
      </w:r>
      <w:r w:rsidR="00A43D7D" w:rsidRPr="003D640E">
        <w:t xml:space="preserve"> </w:t>
      </w:r>
      <w:r w:rsidRPr="003D640E">
        <w:t>EPD, as well as to post regular updates to the Company</w:t>
      </w:r>
      <w:r w:rsidR="00A43D7D">
        <w:t>’</w:t>
      </w:r>
      <w:r w:rsidRPr="003D640E">
        <w:t xml:space="preserve">s external website. Georgia Power has installed comprehensive groundwater monitoring networks, </w:t>
      </w:r>
      <w:r w:rsidRPr="00285C44">
        <w:t>including more than 600 wells,</w:t>
      </w:r>
      <w:r w:rsidRPr="003D640E">
        <w:t xml:space="preserve"> at its facilities across the state to actively monitor groundwater quality at each site. </w:t>
      </w:r>
      <w:bookmarkEnd w:id="45"/>
      <w:r w:rsidR="004F71E2" w:rsidRPr="003D640E">
        <w:t xml:space="preserve">As required under the </w:t>
      </w:r>
      <w:r w:rsidR="00997C8F">
        <w:t>federal and state</w:t>
      </w:r>
      <w:r w:rsidR="004F71E2" w:rsidRPr="003D640E">
        <w:t xml:space="preserve"> CCR </w:t>
      </w:r>
      <w:r w:rsidR="00A43D7D">
        <w:t>r</w:t>
      </w:r>
      <w:r w:rsidR="00A43D7D" w:rsidRPr="003D640E">
        <w:t>ules</w:t>
      </w:r>
      <w:r w:rsidR="004F71E2" w:rsidRPr="003D640E">
        <w:t>, the Company perform</w:t>
      </w:r>
      <w:r w:rsidR="007E4644">
        <w:t>s</w:t>
      </w:r>
      <w:r w:rsidR="004F71E2" w:rsidRPr="003D640E">
        <w:t xml:space="preserve"> routine sampling and reporting for the compliance parameters listed in the </w:t>
      </w:r>
      <w:r w:rsidR="00997C8F">
        <w:t xml:space="preserve">federal and state </w:t>
      </w:r>
      <w:r w:rsidR="0033626A">
        <w:t xml:space="preserve">CCR </w:t>
      </w:r>
      <w:r w:rsidR="00A43D7D">
        <w:t>r</w:t>
      </w:r>
      <w:r w:rsidR="00A43D7D" w:rsidRPr="003D640E">
        <w:t>ules</w:t>
      </w:r>
      <w:r w:rsidR="004F71E2" w:rsidRPr="003D640E">
        <w:t>.</w:t>
      </w:r>
      <w:r w:rsidR="004F71E2" w:rsidRPr="00285C44">
        <w:t xml:space="preserve"> </w:t>
      </w:r>
      <w:r w:rsidR="004F71E2" w:rsidRPr="003D640E">
        <w:t xml:space="preserve">Where parameters have been observed at statistical levels above the groundwater protection standard (“GWPS”), the Company </w:t>
      </w:r>
      <w:r w:rsidR="004F71E2">
        <w:t>has completed evaluations and, when necessary,</w:t>
      </w:r>
      <w:r w:rsidR="004F71E2" w:rsidRPr="003D640E">
        <w:t xml:space="preserve"> </w:t>
      </w:r>
      <w:proofErr w:type="gramStart"/>
      <w:r w:rsidR="004F71E2" w:rsidRPr="003D640E">
        <w:t>entered into</w:t>
      </w:r>
      <w:proofErr w:type="gramEnd"/>
      <w:r w:rsidR="004F71E2" w:rsidRPr="003D640E">
        <w:t xml:space="preserve"> assessment of corrective measures (“ACM”). </w:t>
      </w:r>
    </w:p>
    <w:p w14:paraId="4EC62152" w14:textId="2A8F4343" w:rsidR="002723F6" w:rsidRPr="00285C44" w:rsidRDefault="006F36F4" w:rsidP="004E60BF">
      <w:r w:rsidRPr="003D640E">
        <w:t xml:space="preserve">As required under the </w:t>
      </w:r>
      <w:r w:rsidR="00997C8F">
        <w:t xml:space="preserve">federal and state </w:t>
      </w:r>
      <w:r w:rsidRPr="003D640E">
        <w:t xml:space="preserve">CCR </w:t>
      </w:r>
      <w:r w:rsidR="00A43D7D">
        <w:t>r</w:t>
      </w:r>
      <w:r w:rsidR="00A43D7D" w:rsidRPr="003D640E">
        <w:t>ules</w:t>
      </w:r>
      <w:r w:rsidRPr="003D640E">
        <w:t>, the Company has installed additional monitoring wells to further characterize groundwater quality near CCR units in ACM. As the Company continues the ACM</w:t>
      </w:r>
      <w:r w:rsidR="00294251">
        <w:t xml:space="preserve"> and Remedy Selection</w:t>
      </w:r>
      <w:r w:rsidRPr="003D640E">
        <w:t xml:space="preserve"> process, prior to </w:t>
      </w:r>
      <w:r w:rsidR="00710688">
        <w:t>selecting</w:t>
      </w:r>
      <w:r w:rsidR="00710688" w:rsidRPr="003D640E">
        <w:t xml:space="preserve"> </w:t>
      </w:r>
      <w:r w:rsidRPr="003D640E">
        <w:t>a corrective measure or remedy, the Company will conduct additional activities such as continued site characterization (including groundwater sampling, well and piezometer installation, and laboratory bench scale testing)</w:t>
      </w:r>
      <w:r w:rsidR="001A1164">
        <w:t xml:space="preserve"> </w:t>
      </w:r>
      <w:r w:rsidRPr="003D640E">
        <w:t xml:space="preserve">and </w:t>
      </w:r>
      <w:r w:rsidR="001A1164">
        <w:t xml:space="preserve">provide those results to </w:t>
      </w:r>
      <w:r w:rsidR="00A43D7D">
        <w:t xml:space="preserve">Georgia </w:t>
      </w:r>
      <w:r w:rsidRPr="003D640E">
        <w:t>EPD</w:t>
      </w:r>
      <w:r w:rsidR="001A1164">
        <w:t xml:space="preserve"> for review</w:t>
      </w:r>
      <w:r w:rsidRPr="003D640E">
        <w:t>.</w:t>
      </w:r>
      <w:r w:rsidRPr="00285C44">
        <w:t xml:space="preserve"> </w:t>
      </w:r>
      <w:bookmarkEnd w:id="44"/>
      <w:bookmarkEnd w:id="46"/>
      <w:bookmarkEnd w:id="47"/>
      <w:r w:rsidR="000A496A">
        <w:t xml:space="preserve">Following further data evaluation and EPD concurrence with the proposed remedies, the </w:t>
      </w:r>
      <w:r w:rsidR="00137A1E">
        <w:t>Company is required by the CCR Rule</w:t>
      </w:r>
      <w:r w:rsidR="00710A5C">
        <w:t>s</w:t>
      </w:r>
      <w:r w:rsidR="00137A1E">
        <w:t xml:space="preserve"> to </w:t>
      </w:r>
      <w:r w:rsidR="000A496A">
        <w:t>host</w:t>
      </w:r>
      <w:r w:rsidR="00137A1E">
        <w:t xml:space="preserve"> </w:t>
      </w:r>
      <w:r w:rsidR="000A496A">
        <w:t>a public meeting to solicit public comments on the proposed remedy</w:t>
      </w:r>
      <w:r w:rsidR="00137A1E">
        <w:t>.</w:t>
      </w:r>
    </w:p>
    <w:p w14:paraId="3E996320" w14:textId="0C810803" w:rsidR="00285C44" w:rsidRDefault="00116257" w:rsidP="004E60BF">
      <w:pPr>
        <w:rPr>
          <w:rStyle w:val="Emphasis"/>
          <w:b/>
          <w:bCs/>
          <w:i w:val="0"/>
          <w:iCs w:val="0"/>
          <w:sz w:val="22"/>
          <w:u w:val="none"/>
        </w:rPr>
      </w:pPr>
      <w:r w:rsidRPr="00285C44">
        <w:t>Once ash pond</w:t>
      </w:r>
      <w:r w:rsidRPr="00293B40">
        <w:rPr>
          <w:lang w:val="en"/>
        </w:rPr>
        <w:t xml:space="preserve"> closure</w:t>
      </w:r>
      <w:r w:rsidRPr="002D4674">
        <w:t xml:space="preserve"> is complete, post</w:t>
      </w:r>
      <w:r w:rsidR="00A43D7D">
        <w:t>-</w:t>
      </w:r>
      <w:r w:rsidRPr="002D4674">
        <w:t xml:space="preserve">closure care will be implemented in accordance with the </w:t>
      </w:r>
      <w:r w:rsidR="00A43D7D">
        <w:t>f</w:t>
      </w:r>
      <w:r w:rsidR="00A43D7D" w:rsidRPr="002D4674">
        <w:t xml:space="preserve">ederal </w:t>
      </w:r>
      <w:r w:rsidRPr="002D4674">
        <w:t xml:space="preserve">and </w:t>
      </w:r>
      <w:r w:rsidR="00A43D7D">
        <w:t>state</w:t>
      </w:r>
      <w:r w:rsidR="00A43D7D" w:rsidRPr="002D4674">
        <w:t xml:space="preserve"> </w:t>
      </w:r>
      <w:r w:rsidRPr="002D4674">
        <w:t xml:space="preserve">CCR rules. </w:t>
      </w:r>
      <w:r>
        <w:t>P</w:t>
      </w:r>
      <w:r w:rsidRPr="002D4674">
        <w:t>ost</w:t>
      </w:r>
      <w:r w:rsidR="00A43D7D">
        <w:t>-</w:t>
      </w:r>
      <w:r w:rsidRPr="002D4674">
        <w:t xml:space="preserve">closure care will include inspecting CCR landfills and former ash ponds that are closed in place to verify continued structural integrity, maintaining the integrity </w:t>
      </w:r>
      <w:r>
        <w:t xml:space="preserve">and </w:t>
      </w:r>
      <w:r w:rsidRPr="002D4674">
        <w:t xml:space="preserve">effectiveness of the final cover system for close in place units, maintaining </w:t>
      </w:r>
      <w:r>
        <w:t xml:space="preserve">and sampling </w:t>
      </w:r>
      <w:r w:rsidRPr="002D4674">
        <w:t>the groundwater monitoring systems</w:t>
      </w:r>
      <w:r>
        <w:t>, and regulatory reporting</w:t>
      </w:r>
      <w:r w:rsidRPr="002D4674">
        <w:t xml:space="preserve">. </w:t>
      </w:r>
    </w:p>
    <w:p w14:paraId="3F7FFCAF" w14:textId="77777777" w:rsidR="00063FA5" w:rsidRDefault="00063FA5" w:rsidP="0081189F">
      <w:pPr>
        <w:pStyle w:val="Smallheading3notoc"/>
        <w:rPr>
          <w:rStyle w:val="Emphasis"/>
          <w:i w:val="0"/>
          <w:sz w:val="22"/>
          <w:u w:val="none"/>
        </w:rPr>
      </w:pPr>
    </w:p>
    <w:p w14:paraId="192F2760" w14:textId="77777777" w:rsidR="00063FA5" w:rsidRDefault="00063FA5" w:rsidP="0081189F">
      <w:pPr>
        <w:pStyle w:val="Smallheading3notoc"/>
        <w:rPr>
          <w:rStyle w:val="Emphasis"/>
          <w:i w:val="0"/>
          <w:sz w:val="22"/>
          <w:u w:val="none"/>
        </w:rPr>
      </w:pPr>
    </w:p>
    <w:p w14:paraId="66A55F13" w14:textId="0BF38B2E" w:rsidR="005F5CCE" w:rsidRPr="009D3A36" w:rsidRDefault="005F5CCE" w:rsidP="0081189F">
      <w:pPr>
        <w:pStyle w:val="Smallheading3notoc"/>
        <w:rPr>
          <w:rStyle w:val="Emphasis"/>
          <w:sz w:val="22"/>
        </w:rPr>
      </w:pPr>
      <w:r w:rsidRPr="0081189F">
        <w:rPr>
          <w:rStyle w:val="Emphasis"/>
          <w:i w:val="0"/>
          <w:sz w:val="22"/>
          <w:u w:val="none"/>
        </w:rPr>
        <w:lastRenderedPageBreak/>
        <w:t>Beneficial Use</w:t>
      </w:r>
    </w:p>
    <w:p w14:paraId="110F744A" w14:textId="3819DECE" w:rsidR="00DF48D5" w:rsidRDefault="00E573D9" w:rsidP="004E60BF">
      <w:r w:rsidRPr="002F0966">
        <w:t xml:space="preserve">To minimize or offset costs related to CCR storage, landfill construction, and associated O&amp;M, Georgia Power </w:t>
      </w:r>
      <w:r w:rsidR="00A061A4">
        <w:t>has</w:t>
      </w:r>
      <w:r w:rsidR="00A061A4" w:rsidRPr="003D640E">
        <w:t xml:space="preserve"> market</w:t>
      </w:r>
      <w:r w:rsidR="00A061A4">
        <w:t>ed</w:t>
      </w:r>
      <w:r w:rsidR="008E6CD4" w:rsidRPr="008E6CD4">
        <w:t xml:space="preserve"> </w:t>
      </w:r>
      <w:r w:rsidR="008E6CD4" w:rsidRPr="003D640E">
        <w:t>for beneficial use</w:t>
      </w:r>
      <w:r w:rsidR="00A061A4">
        <w:t>, over a four-year average,</w:t>
      </w:r>
      <w:r w:rsidR="00A061A4" w:rsidRPr="003D640E">
        <w:t xml:space="preserve"> more than 85</w:t>
      </w:r>
      <w:r w:rsidR="00BA1DD3">
        <w:t>%</w:t>
      </w:r>
      <w:r w:rsidR="00A061A4" w:rsidRPr="003D640E">
        <w:t xml:space="preserve"> of the CCR generated from plant operations</w:t>
      </w:r>
      <w:r w:rsidRPr="002F0966">
        <w:t xml:space="preserve">. </w:t>
      </w:r>
    </w:p>
    <w:p w14:paraId="0AB5D027" w14:textId="75DE2388" w:rsidR="00467C9B" w:rsidRPr="002F0966" w:rsidRDefault="00E573D9" w:rsidP="004E60BF">
      <w:r w:rsidRPr="002F0966">
        <w:t>Georgia Power</w:t>
      </w:r>
      <w:r w:rsidR="00F72A5D" w:rsidRPr="002F0966">
        <w:t>’s fleetwide CCR closure strategy</w:t>
      </w:r>
      <w:r w:rsidRPr="002F0966">
        <w:t xml:space="preserve"> </w:t>
      </w:r>
      <w:r w:rsidR="00131C37">
        <w:t xml:space="preserve">includes </w:t>
      </w:r>
      <w:r w:rsidRPr="002F0966">
        <w:t>evaluat</w:t>
      </w:r>
      <w:r w:rsidR="00131C37">
        <w:t>ing</w:t>
      </w:r>
      <w:r w:rsidRPr="002F0966">
        <w:t xml:space="preserve"> opportunities to recycle ponded ash during closures as viable opportunities arise and technology and markets develop. </w:t>
      </w:r>
      <w:r w:rsidR="00FA6702" w:rsidRPr="002F0966">
        <w:t xml:space="preserve">The Company intends to </w:t>
      </w:r>
      <w:r w:rsidR="00BB348E" w:rsidRPr="002F0966">
        <w:t>maximize the benefits of beneficial use by engaging in R&amp;D</w:t>
      </w:r>
      <w:r w:rsidR="002A7923" w:rsidRPr="002F0966">
        <w:t xml:space="preserve"> </w:t>
      </w:r>
      <w:r w:rsidR="00BB348E" w:rsidRPr="002F0966">
        <w:t>(a</w:t>
      </w:r>
      <w:r w:rsidR="00FA6702" w:rsidRPr="002F0966">
        <w:t xml:space="preserve">s discussed in </w:t>
      </w:r>
      <w:hyperlink w:anchor="_ECS_-_Appendix" w:history="1">
        <w:r w:rsidR="00FA6702" w:rsidRPr="002F0966">
          <w:t xml:space="preserve">Appendix </w:t>
        </w:r>
        <w:r w:rsidR="0016758E" w:rsidRPr="002F0966">
          <w:t>C</w:t>
        </w:r>
      </w:hyperlink>
      <w:r w:rsidR="00BB348E" w:rsidRPr="002F0966">
        <w:t xml:space="preserve"> with</w:t>
      </w:r>
      <w:r w:rsidR="00FA6702" w:rsidRPr="002F0966">
        <w:t xml:space="preserve"> </w:t>
      </w:r>
      <w:r w:rsidRPr="002F0966">
        <w:t xml:space="preserve">the </w:t>
      </w:r>
      <w:r w:rsidR="00FA6702" w:rsidRPr="002F0966">
        <w:t>Ash Beneficial Use Center</w:t>
      </w:r>
      <w:r w:rsidR="00BB348E" w:rsidRPr="002F0966">
        <w:t xml:space="preserve">), </w:t>
      </w:r>
      <w:r w:rsidR="002A7923" w:rsidRPr="002F0966">
        <w:t xml:space="preserve">leveraging geographical </w:t>
      </w:r>
      <w:r w:rsidR="00CA7446" w:rsidRPr="002F0966">
        <w:t>market opportunities, and us</w:t>
      </w:r>
      <w:r w:rsidR="002A7923" w:rsidRPr="002F0966">
        <w:t>ing</w:t>
      </w:r>
      <w:r w:rsidR="00CA7446" w:rsidRPr="002F0966">
        <w:t xml:space="preserve"> the competitive bidding process</w:t>
      </w:r>
      <w:r w:rsidR="00621541" w:rsidRPr="002F0966">
        <w:t>.</w:t>
      </w:r>
      <w:r w:rsidRPr="002F0966">
        <w:t xml:space="preserve"> The Company will continue to seek out beneficial use opportunities during ash pond closures where it adds value for the Company and our customers and will continue working with Georgia EPD to obtain permit modifications in the future</w:t>
      </w:r>
      <w:r w:rsidR="00910553">
        <w:t xml:space="preserve"> needed</w:t>
      </w:r>
      <w:r w:rsidRPr="002F0966">
        <w:t xml:space="preserve"> to support beneficial use. </w:t>
      </w:r>
    </w:p>
    <w:p w14:paraId="11BBEF9C" w14:textId="16283700" w:rsidR="0098208A" w:rsidRDefault="008E34BB" w:rsidP="004E60BF">
      <w:r>
        <w:t xml:space="preserve">One example of the Company’s </w:t>
      </w:r>
      <w:r w:rsidR="007741C2">
        <w:t>ability to leverage geographical market opportunities includes the</w:t>
      </w:r>
      <w:r w:rsidR="00B8385B">
        <w:t xml:space="preserve"> beneficial use plans at Plant Mitchell</w:t>
      </w:r>
      <w:r w:rsidR="007741C2">
        <w:t>.</w:t>
      </w:r>
      <w:r w:rsidR="00B8385B">
        <w:t xml:space="preserve"> </w:t>
      </w:r>
      <w:r w:rsidR="008B4700">
        <w:t>Plant Mitchell</w:t>
      </w:r>
      <w:r w:rsidR="002A5023">
        <w:t xml:space="preserve"> is</w:t>
      </w:r>
      <w:r w:rsidR="008B4700">
        <w:t xml:space="preserve"> located in</w:t>
      </w:r>
      <w:r w:rsidR="00B8385B">
        <w:t xml:space="preserve"> </w:t>
      </w:r>
      <w:proofErr w:type="gramStart"/>
      <w:r w:rsidR="00AE6CD0">
        <w:t>s</w:t>
      </w:r>
      <w:r w:rsidR="00B8385B">
        <w:t>outh Georgia</w:t>
      </w:r>
      <w:proofErr w:type="gramEnd"/>
      <w:r w:rsidR="009511DB">
        <w:t xml:space="preserve">, in close </w:t>
      </w:r>
      <w:r w:rsidR="000A6045">
        <w:t xml:space="preserve">proximity to </w:t>
      </w:r>
      <w:r w:rsidR="00B8385B">
        <w:t xml:space="preserve">Portland </w:t>
      </w:r>
      <w:r w:rsidR="00D84900">
        <w:t>c</w:t>
      </w:r>
      <w:r w:rsidR="00B8385B">
        <w:t xml:space="preserve">ement </w:t>
      </w:r>
      <w:r w:rsidR="00D84900">
        <w:t xml:space="preserve">and concrete </w:t>
      </w:r>
      <w:r w:rsidR="00B8385B">
        <w:t>processing facilities</w:t>
      </w:r>
      <w:r w:rsidR="009511DB">
        <w:t>, which are</w:t>
      </w:r>
      <w:r w:rsidR="00B8385B">
        <w:t xml:space="preserve"> located </w:t>
      </w:r>
      <w:r w:rsidR="002F2F58">
        <w:t>p</w:t>
      </w:r>
      <w:r w:rsidR="00E67EA0">
        <w:t xml:space="preserve">rimarily </w:t>
      </w:r>
      <w:r w:rsidR="00B8385B">
        <w:t>in Florida</w:t>
      </w:r>
      <w:r w:rsidR="00073F6C">
        <w:t>.</w:t>
      </w:r>
      <w:r w:rsidR="00AD5057">
        <w:t xml:space="preserve"> </w:t>
      </w:r>
      <w:r w:rsidR="009511DB">
        <w:t xml:space="preserve">As </w:t>
      </w:r>
      <w:r w:rsidR="009B4500">
        <w:t>coal ash can be used to create concrete, t</w:t>
      </w:r>
      <w:r w:rsidR="000A6045">
        <w:t xml:space="preserve">his proximity is </w:t>
      </w:r>
      <w:r w:rsidR="002B1AC5">
        <w:t>adv</w:t>
      </w:r>
      <w:r w:rsidR="00BF372F">
        <w:t>a</w:t>
      </w:r>
      <w:r w:rsidR="002B1AC5">
        <w:t>ntageous</w:t>
      </w:r>
      <w:r w:rsidR="000A6045">
        <w:t xml:space="preserve"> to the cost effectiveness of th</w:t>
      </w:r>
      <w:r w:rsidR="00897D93">
        <w:t>e</w:t>
      </w:r>
      <w:r w:rsidR="000A6045">
        <w:t xml:space="preserve"> beneficial use project to </w:t>
      </w:r>
      <w:r w:rsidR="00467C9B" w:rsidRPr="003D640E">
        <w:t xml:space="preserve">remove the stored coal ash at Plant Mitchell’s three ash ponds. Over the next several years, </w:t>
      </w:r>
      <w:r w:rsidR="00BB1E02">
        <w:t xml:space="preserve">Georgia Power anticipates that </w:t>
      </w:r>
      <w:r w:rsidR="00467C9B" w:rsidRPr="003D640E">
        <w:t xml:space="preserve">up to approximately two million tons of </w:t>
      </w:r>
      <w:r w:rsidR="00BB1E02">
        <w:t>coal</w:t>
      </w:r>
      <w:r w:rsidR="00467C9B" w:rsidRPr="003D640E">
        <w:t xml:space="preserve"> ash are planned to be removed from the site to help create Portland cement</w:t>
      </w:r>
      <w:r w:rsidR="00D84900">
        <w:t xml:space="preserve">, reducing </w:t>
      </w:r>
      <w:r w:rsidR="00467C9B" w:rsidRPr="003D640E">
        <w:t xml:space="preserve">the amount of ash required to be removed </w:t>
      </w:r>
      <w:r w:rsidR="00BB1E02">
        <w:t xml:space="preserve">and relocated </w:t>
      </w:r>
      <w:r w:rsidR="00467C9B" w:rsidRPr="003D640E">
        <w:t>to an off-site landfill and ultimately serv</w:t>
      </w:r>
      <w:r w:rsidR="00D84900">
        <w:t>ing</w:t>
      </w:r>
      <w:r w:rsidR="00467C9B" w:rsidRPr="003D640E">
        <w:t xml:space="preserve"> to </w:t>
      </w:r>
      <w:r w:rsidR="00467C9B" w:rsidRPr="001E0B75">
        <w:t>produce a valuable product.</w:t>
      </w:r>
      <w:r w:rsidR="00467C9B" w:rsidRPr="00721C1A">
        <w:t xml:space="preserve"> </w:t>
      </w:r>
      <w:r w:rsidR="006C33EA" w:rsidRPr="00721C1A">
        <w:t xml:space="preserve">As of </w:t>
      </w:r>
      <w:r w:rsidR="00721C1A">
        <w:t xml:space="preserve">the end of </w:t>
      </w:r>
      <w:r w:rsidR="006C33EA" w:rsidRPr="00721C1A">
        <w:t xml:space="preserve">2024, </w:t>
      </w:r>
      <w:r w:rsidR="00097BDC" w:rsidRPr="00721C1A">
        <w:t>nearly half of the material</w:t>
      </w:r>
      <w:r w:rsidR="00097BDC">
        <w:t xml:space="preserve"> onsite </w:t>
      </w:r>
      <w:r w:rsidR="00274CF2">
        <w:t xml:space="preserve">has </w:t>
      </w:r>
      <w:r w:rsidR="00097BDC">
        <w:t xml:space="preserve">been </w:t>
      </w:r>
      <w:r w:rsidR="008D5293">
        <w:t>sent for beneficial use</w:t>
      </w:r>
      <w:r w:rsidR="00097BDC">
        <w:t>.</w:t>
      </w:r>
      <w:r w:rsidR="008D5293">
        <w:t xml:space="preserve"> </w:t>
      </w:r>
    </w:p>
    <w:p w14:paraId="0BB41B34" w14:textId="4A1C3922" w:rsidR="00160D5A" w:rsidRPr="00960F43" w:rsidRDefault="00955684" w:rsidP="004E60BF">
      <w:r w:rsidRPr="005722B6">
        <w:t xml:space="preserve">In June 2022, Georgia Power announced </w:t>
      </w:r>
      <w:r w:rsidR="00275456">
        <w:t>the</w:t>
      </w:r>
      <w:r w:rsidRPr="005722B6">
        <w:t xml:space="preserve"> beneficial use project at Plant Bowen, where </w:t>
      </w:r>
      <w:r w:rsidR="0013549A">
        <w:t xml:space="preserve">investments </w:t>
      </w:r>
      <w:r w:rsidR="00A61687">
        <w:t>have been</w:t>
      </w:r>
      <w:r w:rsidR="0013549A">
        <w:t xml:space="preserve"> made</w:t>
      </w:r>
      <w:r w:rsidR="00A61687">
        <w:t xml:space="preserve"> to construct an ash processing facility</w:t>
      </w:r>
      <w:r w:rsidR="00EC0BEA">
        <w:t xml:space="preserve"> to excavate</w:t>
      </w:r>
      <w:r w:rsidR="0013549A">
        <w:t xml:space="preserve"> </w:t>
      </w:r>
      <w:r w:rsidR="00C06582">
        <w:t xml:space="preserve">up to nine </w:t>
      </w:r>
      <w:r w:rsidRPr="005722B6">
        <w:t>million</w:t>
      </w:r>
      <w:r w:rsidR="00C06582">
        <w:t xml:space="preserve"> tons</w:t>
      </w:r>
      <w:r w:rsidRPr="005722B6">
        <w:t xml:space="preserve"> of coal ash </w:t>
      </w:r>
      <w:r w:rsidR="006C3B22" w:rsidRPr="005722B6">
        <w:t>to generate a marketable ash product specifically for cement replacement in concrete</w:t>
      </w:r>
      <w:r w:rsidRPr="005722B6">
        <w:t xml:space="preserve">. The harvested ash </w:t>
      </w:r>
      <w:r w:rsidR="00476417">
        <w:t xml:space="preserve">is </w:t>
      </w:r>
      <w:r w:rsidRPr="005722B6">
        <w:t>be</w:t>
      </w:r>
      <w:r w:rsidR="00476417">
        <w:t>ing</w:t>
      </w:r>
      <w:r w:rsidRPr="005722B6">
        <w:t xml:space="preserve"> processed for beneficial use through particle size screening and drying to remove excess moisture.</w:t>
      </w:r>
      <w:r w:rsidR="00F25997">
        <w:t xml:space="preserve"> The </w:t>
      </w:r>
      <w:r w:rsidR="009D597A">
        <w:t xml:space="preserve">processing facility at Plant Bowen </w:t>
      </w:r>
      <w:r w:rsidR="004D628A">
        <w:t>began operations in first quarter 2024.</w:t>
      </w:r>
      <w:r w:rsidR="007C14B7">
        <w:t xml:space="preserve"> </w:t>
      </w:r>
      <w:r w:rsidR="00160D5A" w:rsidRPr="00120C76">
        <w:t xml:space="preserve">In </w:t>
      </w:r>
      <w:r w:rsidR="00160D5A">
        <w:t>May</w:t>
      </w:r>
      <w:r w:rsidR="00160D5A" w:rsidRPr="00120C76">
        <w:t xml:space="preserve"> 2023, Georgia Power </w:t>
      </w:r>
      <w:r w:rsidR="00160D5A">
        <w:t>finalized an agreement for</w:t>
      </w:r>
      <w:r w:rsidR="00160D5A" w:rsidRPr="00120C76">
        <w:t xml:space="preserve"> </w:t>
      </w:r>
      <w:r w:rsidR="00275456">
        <w:t>the</w:t>
      </w:r>
      <w:r w:rsidR="00160D5A" w:rsidRPr="00120C76">
        <w:t xml:space="preserve"> beneficial use project at Plant Branch</w:t>
      </w:r>
      <w:r w:rsidR="00D81D3A">
        <w:t>,</w:t>
      </w:r>
      <w:r w:rsidR="00160D5A" w:rsidRPr="00120C76">
        <w:t xml:space="preserve"> where </w:t>
      </w:r>
      <w:r w:rsidR="00D81D3A">
        <w:t xml:space="preserve">investments are being made to </w:t>
      </w:r>
      <w:r w:rsidR="00513069">
        <w:t xml:space="preserve">build a processing facility with plans to </w:t>
      </w:r>
      <w:r w:rsidR="00D81D3A">
        <w:t xml:space="preserve">excavate </w:t>
      </w:r>
      <w:r w:rsidR="00A275AE">
        <w:t xml:space="preserve">up to eight </w:t>
      </w:r>
      <w:r w:rsidR="00160D5A" w:rsidRPr="00120C76">
        <w:t>million tons of coal ash for use in concrete.</w:t>
      </w:r>
      <w:r w:rsidR="00160D5A">
        <w:t xml:space="preserve"> </w:t>
      </w:r>
      <w:r w:rsidR="00E66C53">
        <w:t>T</w:t>
      </w:r>
      <w:r w:rsidR="00160D5A">
        <w:t>he harvested ash will be processed through particle screening, drying, and thermal beneficiation</w:t>
      </w:r>
      <w:r w:rsidR="00E66C53">
        <w:t xml:space="preserve">, which </w:t>
      </w:r>
      <w:r w:rsidR="00160D5A">
        <w:t>creates a more marketable ash product by using heat to reduce the remaining carbon in the CCR material.</w:t>
      </w:r>
      <w:r w:rsidR="007C14B7">
        <w:t xml:space="preserve"> </w:t>
      </w:r>
      <w:r w:rsidR="005F61AD">
        <w:t>Additional progress</w:t>
      </w:r>
      <w:r w:rsidR="00884BB4">
        <w:t xml:space="preserve"> updates are provided in the Company’s Semi</w:t>
      </w:r>
      <w:r w:rsidR="00693E3F">
        <w:t>-</w:t>
      </w:r>
      <w:r w:rsidR="00884BB4">
        <w:t xml:space="preserve">Annual </w:t>
      </w:r>
      <w:r w:rsidR="00593102">
        <w:t>R</w:t>
      </w:r>
      <w:r w:rsidR="00884BB4">
        <w:t xml:space="preserve">eport in Docket </w:t>
      </w:r>
      <w:r w:rsidR="0047161C">
        <w:t>No. 43083.</w:t>
      </w:r>
      <w:r w:rsidR="00160D5A">
        <w:t xml:space="preserve"> </w:t>
      </w:r>
    </w:p>
    <w:p w14:paraId="016D52C9" w14:textId="256F117F" w:rsidR="002A4138" w:rsidRDefault="00E573D9" w:rsidP="004E60BF">
      <w:pPr>
        <w:rPr>
          <w:rFonts w:cs="Arial"/>
          <w:lang w:val="en"/>
        </w:rPr>
      </w:pPr>
      <w:r>
        <w:t>The CCR ARO compliance program is long</w:t>
      </w:r>
      <w:r w:rsidR="0043316B">
        <w:t xml:space="preserve"> </w:t>
      </w:r>
      <w:r>
        <w:t xml:space="preserve">term in nature with the possibility for changing market conditions, technology advancements, and many other factors over the coming decades. </w:t>
      </w:r>
      <w:r w:rsidRPr="00262ADB">
        <w:rPr>
          <w:rFonts w:cs="Arial"/>
          <w:lang w:val="en"/>
        </w:rPr>
        <w:t xml:space="preserve">The Company will continue to </w:t>
      </w:r>
      <w:r>
        <w:rPr>
          <w:rFonts w:cs="Arial"/>
          <w:lang w:val="en"/>
        </w:rPr>
        <w:t xml:space="preserve">monitor progress with its current beneficial use plans, </w:t>
      </w:r>
      <w:r w:rsidRPr="00262ADB">
        <w:rPr>
          <w:rFonts w:cs="Arial"/>
          <w:lang w:val="en"/>
        </w:rPr>
        <w:t xml:space="preserve">consider </w:t>
      </w:r>
      <w:r>
        <w:rPr>
          <w:rFonts w:cs="Arial"/>
          <w:lang w:val="en"/>
        </w:rPr>
        <w:t xml:space="preserve">additional </w:t>
      </w:r>
      <w:r w:rsidRPr="00262ADB">
        <w:rPr>
          <w:rFonts w:cs="Arial"/>
          <w:lang w:val="en"/>
        </w:rPr>
        <w:t xml:space="preserve">beneficial use opportunities </w:t>
      </w:r>
      <w:r>
        <w:rPr>
          <w:rFonts w:cs="Arial"/>
          <w:lang w:val="en"/>
        </w:rPr>
        <w:t xml:space="preserve">as </w:t>
      </w:r>
      <w:r w:rsidRPr="00262ADB">
        <w:rPr>
          <w:rFonts w:cs="Arial"/>
          <w:lang w:val="en"/>
        </w:rPr>
        <w:t>appropriat</w:t>
      </w:r>
      <w:r w:rsidRPr="06EC554D">
        <w:rPr>
          <w:rFonts w:cs="Arial"/>
          <w:lang w:val="en"/>
        </w:rPr>
        <w:t>e</w:t>
      </w:r>
      <w:r w:rsidRPr="00AA38F0">
        <w:rPr>
          <w:rFonts w:cs="Arial"/>
          <w:lang w:val="en"/>
        </w:rPr>
        <w:t xml:space="preserve"> </w:t>
      </w:r>
      <w:r>
        <w:rPr>
          <w:rFonts w:cs="Arial"/>
          <w:lang w:val="en"/>
        </w:rPr>
        <w:t>in</w:t>
      </w:r>
      <w:r w:rsidRPr="00AA38F0">
        <w:rPr>
          <w:rFonts w:cs="Arial"/>
          <w:lang w:val="en"/>
        </w:rPr>
        <w:t xml:space="preserve"> the </w:t>
      </w:r>
      <w:r>
        <w:rPr>
          <w:rFonts w:cs="Arial"/>
          <w:lang w:val="en"/>
        </w:rPr>
        <w:t>future</w:t>
      </w:r>
      <w:r w:rsidR="00A22087">
        <w:rPr>
          <w:rFonts w:cs="Arial"/>
          <w:lang w:val="en"/>
        </w:rPr>
        <w:t xml:space="preserve">, and will evaluate future revisions to the CCR rules </w:t>
      </w:r>
      <w:r w:rsidR="0059417D">
        <w:rPr>
          <w:rFonts w:cs="Arial"/>
          <w:lang w:val="en"/>
        </w:rPr>
        <w:t xml:space="preserve">and CCR permit developments </w:t>
      </w:r>
      <w:r w:rsidR="00A22087">
        <w:rPr>
          <w:rFonts w:cs="Arial"/>
          <w:lang w:val="en"/>
        </w:rPr>
        <w:t>for any impacts to beneficial use projects</w:t>
      </w:r>
      <w:r>
        <w:rPr>
          <w:rFonts w:cs="Arial"/>
          <w:lang w:val="en"/>
        </w:rPr>
        <w:t>.</w:t>
      </w:r>
      <w:r w:rsidR="00A22087">
        <w:rPr>
          <w:rFonts w:cs="Arial"/>
          <w:lang w:val="en"/>
        </w:rPr>
        <w:t xml:space="preserve"> </w:t>
      </w:r>
    </w:p>
    <w:p w14:paraId="79AA84D7" w14:textId="77777777" w:rsidR="002A4138" w:rsidRDefault="002A4138">
      <w:pPr>
        <w:jc w:val="left"/>
        <w:rPr>
          <w:rFonts w:cs="Arial"/>
          <w:lang w:val="en"/>
        </w:rPr>
      </w:pPr>
      <w:r>
        <w:rPr>
          <w:rFonts w:cs="Arial"/>
          <w:lang w:val="en"/>
        </w:rPr>
        <w:br w:type="page"/>
      </w:r>
    </w:p>
    <w:p w14:paraId="48716519" w14:textId="3C031EDE" w:rsidR="00CA448C" w:rsidRPr="00C6617C" w:rsidRDefault="00CA448C" w:rsidP="00F27DFC">
      <w:pPr>
        <w:pStyle w:val="Heading2"/>
      </w:pPr>
      <w:bookmarkStart w:id="48" w:name="_Toc188252322"/>
      <w:bookmarkStart w:id="49" w:name="_Toc117253473"/>
      <w:r w:rsidRPr="00C6617C">
        <w:rPr>
          <w:rFonts w:hint="eastAsia"/>
        </w:rPr>
        <w:lastRenderedPageBreak/>
        <w:t>2.</w:t>
      </w:r>
      <w:r w:rsidR="00C92C1D" w:rsidRPr="00C6617C">
        <w:rPr>
          <w:rFonts w:hint="eastAsia"/>
        </w:rPr>
        <w:t>3</w:t>
      </w:r>
      <w:r w:rsidRPr="00C6617C">
        <w:rPr>
          <w:rFonts w:hint="eastAsia"/>
        </w:rPr>
        <w:t xml:space="preserve"> Air Regulatory and Strategy Updates</w:t>
      </w:r>
      <w:bookmarkEnd w:id="48"/>
    </w:p>
    <w:p w14:paraId="41403C22" w14:textId="265D8A59" w:rsidR="00CA448C" w:rsidRDefault="00CA448C" w:rsidP="002A4138">
      <w:r w:rsidRPr="00DB7156">
        <w:t xml:space="preserve">The </w:t>
      </w:r>
      <w:r>
        <w:t>air</w:t>
      </w:r>
      <w:r w:rsidRPr="00DB7156">
        <w:t xml:space="preserve"> compliance strategy considers a variety of regulations related to </w:t>
      </w:r>
      <w:r>
        <w:t>air</w:t>
      </w:r>
      <w:r w:rsidRPr="00DB7156">
        <w:t xml:space="preserve"> quality and </w:t>
      </w:r>
      <w:r>
        <w:t>emissions, including</w:t>
      </w:r>
      <w:r w:rsidRPr="00DB7156">
        <w:t xml:space="preserve"> both </w:t>
      </w:r>
      <w:r w:rsidR="00935048">
        <w:t>federal</w:t>
      </w:r>
      <w:r>
        <w:t xml:space="preserve"> and</w:t>
      </w:r>
      <w:r w:rsidR="00935048">
        <w:t xml:space="preserve"> state </w:t>
      </w:r>
      <w:r w:rsidRPr="00DB7156">
        <w:t>requirements.</w:t>
      </w:r>
      <w:r>
        <w:t xml:space="preserve"> Based on the information currently available, t</w:t>
      </w:r>
      <w:r w:rsidRPr="00DB7156">
        <w:t xml:space="preserve">he </w:t>
      </w:r>
      <w:r>
        <w:t>strategy to meet air compliance requirements is summarized in</w:t>
      </w:r>
      <w:r w:rsidR="00AF3FFA">
        <w:t xml:space="preserve"> </w:t>
      </w:r>
      <w:r w:rsidR="00AF3FFA" w:rsidRPr="00AF3FFA">
        <w:rPr>
          <w:b/>
          <w:bCs/>
        </w:rPr>
        <w:t xml:space="preserve">Table </w:t>
      </w:r>
      <w:r w:rsidR="001F1799">
        <w:rPr>
          <w:b/>
          <w:bCs/>
        </w:rPr>
        <w:t>7</w:t>
      </w:r>
      <w:r w:rsidR="00AF3FFA">
        <w:t xml:space="preserve">. </w:t>
      </w:r>
      <w:r>
        <w:t>The areas of legislation, regulation, permitting, or other actions that set</w:t>
      </w:r>
      <w:r w:rsidR="005353E5">
        <w:t>,</w:t>
      </w:r>
      <w:r>
        <w:t xml:space="preserve"> or are anticipated to set</w:t>
      </w:r>
      <w:r w:rsidR="005353E5">
        <w:t>,</w:t>
      </w:r>
      <w:r>
        <w:t xml:space="preserve"> critical air compliance requirements are </w:t>
      </w:r>
      <w:r w:rsidRPr="00DB7156">
        <w:t xml:space="preserve">discussed below. </w:t>
      </w:r>
    </w:p>
    <w:p w14:paraId="584FCC33" w14:textId="394A91CB" w:rsidR="00CA448C" w:rsidRPr="00DC67D6" w:rsidRDefault="00CA448C" w:rsidP="002D3EF7">
      <w:pPr>
        <w:jc w:val="left"/>
        <w:rPr>
          <w:rFonts w:cs="Arial"/>
          <w:b/>
          <w:bCs/>
          <w:sz w:val="20"/>
        </w:rPr>
      </w:pPr>
      <w:bookmarkStart w:id="50" w:name="_Ref129869996"/>
      <w:bookmarkStart w:id="51" w:name="_Ref130528693"/>
      <w:r w:rsidRPr="00DC67D6">
        <w:rPr>
          <w:rFonts w:cs="Arial"/>
          <w:b/>
          <w:bCs/>
          <w:sz w:val="20"/>
        </w:rPr>
        <w:t xml:space="preserve">Table </w:t>
      </w:r>
      <w:r w:rsidR="001F1799">
        <w:rPr>
          <w:rFonts w:cs="Arial"/>
          <w:b/>
          <w:bCs/>
          <w:sz w:val="20"/>
        </w:rPr>
        <w:t>7</w:t>
      </w:r>
      <w:bookmarkEnd w:id="50"/>
      <w:bookmarkEnd w:id="51"/>
      <w:r w:rsidR="006B35E6">
        <w:rPr>
          <w:rFonts w:cs="Arial"/>
          <w:b/>
          <w:color w:val="171717" w:themeColor="background2" w:themeShade="1A"/>
          <w:sz w:val="20"/>
          <w:szCs w:val="20"/>
        </w:rPr>
        <w:t>.</w:t>
      </w:r>
      <w:r w:rsidRPr="00DC67D6">
        <w:rPr>
          <w:rFonts w:cs="Arial"/>
          <w:b/>
          <w:bCs/>
          <w:sz w:val="20"/>
        </w:rPr>
        <w:t xml:space="preserve"> Emissions Control Equipment at Coal</w:t>
      </w:r>
      <w:r w:rsidR="00B357A3">
        <w:rPr>
          <w:rFonts w:cs="Arial"/>
          <w:b/>
          <w:bCs/>
          <w:sz w:val="20"/>
        </w:rPr>
        <w:t>,</w:t>
      </w:r>
      <w:r w:rsidRPr="00DC67D6">
        <w:rPr>
          <w:rFonts w:cs="Arial"/>
          <w:b/>
          <w:bCs/>
          <w:sz w:val="20"/>
        </w:rPr>
        <w:t xml:space="preserve"> Natural Gas Combined-Cycle</w:t>
      </w:r>
      <w:r w:rsidR="00B357A3">
        <w:rPr>
          <w:rFonts w:cs="Arial"/>
          <w:b/>
          <w:bCs/>
          <w:sz w:val="20"/>
        </w:rPr>
        <w:t>, and New Combustion Turbine</w:t>
      </w:r>
      <w:r w:rsidRPr="00DC67D6">
        <w:rPr>
          <w:rFonts w:cs="Arial"/>
          <w:b/>
          <w:bCs/>
          <w:sz w:val="20"/>
        </w:rPr>
        <w:t xml:space="preserve"> Units</w:t>
      </w:r>
    </w:p>
    <w:tbl>
      <w:tblPr>
        <w:tblW w:w="9340" w:type="dxa"/>
        <w:tbl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insideH w:val="single" w:sz="8" w:space="0" w:color="AEAAAA" w:themeColor="background2" w:themeShade="BF"/>
          <w:insideV w:val="single" w:sz="8" w:space="0" w:color="AEAAAA" w:themeColor="background2" w:themeShade="BF"/>
        </w:tblBorders>
        <w:tblLook w:val="04A0" w:firstRow="1" w:lastRow="0" w:firstColumn="1" w:lastColumn="0" w:noHBand="0" w:noVBand="1"/>
      </w:tblPr>
      <w:tblGrid>
        <w:gridCol w:w="1677"/>
        <w:gridCol w:w="1184"/>
        <w:gridCol w:w="1216"/>
        <w:gridCol w:w="1030"/>
        <w:gridCol w:w="1559"/>
        <w:gridCol w:w="1338"/>
        <w:gridCol w:w="1336"/>
      </w:tblGrid>
      <w:tr w:rsidR="003A381E" w:rsidRPr="00254F7E" w14:paraId="21306CCE" w14:textId="77777777" w:rsidTr="00891F3E">
        <w:trPr>
          <w:cantSplit/>
          <w:trHeight w:val="448"/>
        </w:trPr>
        <w:tc>
          <w:tcPr>
            <w:tcW w:w="1677" w:type="dxa"/>
            <w:shd w:val="clear" w:color="auto" w:fill="E7E6E6" w:themeFill="background2"/>
            <w:noWrap/>
            <w:vAlign w:val="center"/>
            <w:hideMark/>
          </w:tcPr>
          <w:p w14:paraId="0859B74B" w14:textId="77777777" w:rsidR="00CA448C" w:rsidRPr="00F06BA2" w:rsidRDefault="00CA448C" w:rsidP="002D3EF7">
            <w:pPr>
              <w:spacing w:after="0" w:line="240" w:lineRule="auto"/>
              <w:rPr>
                <w:rFonts w:eastAsia="Times New Roman" w:cs="Arial"/>
                <w:b/>
                <w:bCs/>
                <w:color w:val="000000"/>
                <w:sz w:val="20"/>
              </w:rPr>
            </w:pPr>
            <w:r w:rsidRPr="00F06BA2">
              <w:rPr>
                <w:rFonts w:eastAsia="Times New Roman" w:cs="Arial"/>
                <w:b/>
                <w:bCs/>
                <w:color w:val="000000"/>
                <w:sz w:val="20"/>
              </w:rPr>
              <w:t>Unit</w:t>
            </w:r>
          </w:p>
        </w:tc>
        <w:tc>
          <w:tcPr>
            <w:tcW w:w="1184" w:type="dxa"/>
            <w:shd w:val="clear" w:color="auto" w:fill="E7E6E6" w:themeFill="background2"/>
            <w:vAlign w:val="center"/>
            <w:hideMark/>
          </w:tcPr>
          <w:p w14:paraId="74D967E6" w14:textId="4F936BB9" w:rsidR="00CA448C" w:rsidRPr="00F06BA2" w:rsidRDefault="006E111A" w:rsidP="002D3EF7">
            <w:pPr>
              <w:spacing w:after="0" w:line="240" w:lineRule="auto"/>
              <w:rPr>
                <w:rFonts w:eastAsia="Times New Roman" w:cs="Arial"/>
                <w:b/>
                <w:bCs/>
                <w:color w:val="000000"/>
                <w:sz w:val="20"/>
              </w:rPr>
            </w:pPr>
            <w:r w:rsidRPr="00F06BA2">
              <w:rPr>
                <w:rFonts w:eastAsia="Times New Roman" w:cs="Arial"/>
                <w:b/>
                <w:bCs/>
                <w:color w:val="000000"/>
                <w:sz w:val="20"/>
              </w:rPr>
              <w:t>Primary Fuel</w:t>
            </w:r>
          </w:p>
        </w:tc>
        <w:tc>
          <w:tcPr>
            <w:tcW w:w="1216" w:type="dxa"/>
            <w:shd w:val="clear" w:color="auto" w:fill="E7E6E6" w:themeFill="background2"/>
            <w:vAlign w:val="center"/>
            <w:hideMark/>
          </w:tcPr>
          <w:p w14:paraId="5373D079" w14:textId="77777777" w:rsidR="00CA448C" w:rsidRPr="00F06BA2" w:rsidRDefault="00CA448C" w:rsidP="002D3EF7">
            <w:pPr>
              <w:spacing w:after="0" w:line="240" w:lineRule="auto"/>
              <w:rPr>
                <w:rFonts w:eastAsia="Times New Roman" w:cs="Arial"/>
                <w:b/>
                <w:bCs/>
                <w:color w:val="000000"/>
                <w:sz w:val="20"/>
              </w:rPr>
            </w:pPr>
            <w:r w:rsidRPr="00F06BA2">
              <w:rPr>
                <w:rFonts w:eastAsia="Times New Roman" w:cs="Arial"/>
                <w:b/>
                <w:bCs/>
                <w:color w:val="000000"/>
                <w:sz w:val="20"/>
              </w:rPr>
              <w:t>NO</w:t>
            </w:r>
            <w:r w:rsidRPr="007831C3">
              <w:rPr>
                <w:rFonts w:eastAsia="Times New Roman" w:cs="Arial"/>
                <w:b/>
                <w:color w:val="000000"/>
                <w:sz w:val="20"/>
                <w:vertAlign w:val="subscript"/>
              </w:rPr>
              <w:t>x</w:t>
            </w:r>
            <w:r w:rsidRPr="00F06BA2">
              <w:rPr>
                <w:rFonts w:eastAsia="Times New Roman" w:cs="Arial"/>
                <w:b/>
                <w:bCs/>
                <w:color w:val="000000"/>
                <w:sz w:val="20"/>
              </w:rPr>
              <w:t xml:space="preserve"> Control</w:t>
            </w:r>
          </w:p>
        </w:tc>
        <w:tc>
          <w:tcPr>
            <w:tcW w:w="1027" w:type="dxa"/>
            <w:shd w:val="clear" w:color="auto" w:fill="E7E6E6" w:themeFill="background2"/>
            <w:vAlign w:val="center"/>
          </w:tcPr>
          <w:p w14:paraId="1D119DC8" w14:textId="586B1B15" w:rsidR="00CA448C" w:rsidRPr="00F06BA2" w:rsidRDefault="00CA448C" w:rsidP="002D3EF7">
            <w:pPr>
              <w:spacing w:after="0" w:line="240" w:lineRule="auto"/>
              <w:rPr>
                <w:rFonts w:eastAsia="Times New Roman" w:cs="Arial"/>
                <w:b/>
                <w:bCs/>
                <w:color w:val="000000"/>
                <w:sz w:val="20"/>
              </w:rPr>
            </w:pPr>
            <w:r w:rsidRPr="00F06BA2">
              <w:rPr>
                <w:rFonts w:eastAsia="Times New Roman" w:cs="Arial"/>
                <w:b/>
                <w:bCs/>
                <w:color w:val="000000"/>
                <w:sz w:val="20"/>
              </w:rPr>
              <w:t>SO</w:t>
            </w:r>
            <w:r w:rsidRPr="00F06BA2">
              <w:rPr>
                <w:rFonts w:eastAsia="Times New Roman" w:cs="Arial"/>
                <w:b/>
                <w:color w:val="000000"/>
                <w:sz w:val="20"/>
                <w:vertAlign w:val="subscript"/>
              </w:rPr>
              <w:t>2</w:t>
            </w:r>
            <w:r w:rsidRPr="00F06BA2">
              <w:rPr>
                <w:rFonts w:eastAsia="Times New Roman" w:cs="Arial"/>
                <w:b/>
                <w:bCs/>
                <w:color w:val="000000"/>
                <w:sz w:val="20"/>
              </w:rPr>
              <w:t>/Acid Gas Control</w:t>
            </w:r>
          </w:p>
        </w:tc>
        <w:tc>
          <w:tcPr>
            <w:tcW w:w="1636" w:type="dxa"/>
            <w:shd w:val="clear" w:color="auto" w:fill="E7E6E6" w:themeFill="background2"/>
            <w:vAlign w:val="center"/>
          </w:tcPr>
          <w:p w14:paraId="47DEC3BE" w14:textId="77777777" w:rsidR="00CA448C" w:rsidRPr="00F06BA2" w:rsidRDefault="00CA448C" w:rsidP="002D3EF7">
            <w:pPr>
              <w:spacing w:after="0" w:line="240" w:lineRule="auto"/>
              <w:rPr>
                <w:rFonts w:eastAsia="Times New Roman" w:cs="Arial"/>
                <w:b/>
                <w:bCs/>
                <w:color w:val="000000"/>
                <w:sz w:val="20"/>
              </w:rPr>
            </w:pPr>
            <w:r w:rsidRPr="00F06BA2">
              <w:rPr>
                <w:rFonts w:eastAsia="Times New Roman" w:cs="Arial"/>
                <w:b/>
                <w:bCs/>
                <w:color w:val="000000"/>
                <w:sz w:val="20"/>
              </w:rPr>
              <w:t>Mercury Control</w:t>
            </w:r>
          </w:p>
        </w:tc>
        <w:tc>
          <w:tcPr>
            <w:tcW w:w="1264" w:type="dxa"/>
            <w:shd w:val="clear" w:color="auto" w:fill="E7E6E6" w:themeFill="background2"/>
            <w:vAlign w:val="center"/>
            <w:hideMark/>
          </w:tcPr>
          <w:p w14:paraId="480831CE" w14:textId="713632E9" w:rsidR="00CA448C" w:rsidRPr="00F06BA2" w:rsidRDefault="0010398F" w:rsidP="002D3EF7">
            <w:pPr>
              <w:spacing w:after="0" w:line="240" w:lineRule="auto"/>
              <w:rPr>
                <w:rFonts w:eastAsia="Times New Roman" w:cs="Arial"/>
                <w:b/>
                <w:bCs/>
                <w:color w:val="000000"/>
                <w:sz w:val="20"/>
              </w:rPr>
            </w:pPr>
            <w:r w:rsidRPr="00F06BA2">
              <w:rPr>
                <w:rFonts w:eastAsia="Times New Roman" w:cs="Arial"/>
                <w:b/>
                <w:bCs/>
                <w:color w:val="000000"/>
                <w:sz w:val="20"/>
              </w:rPr>
              <w:t>PM</w:t>
            </w:r>
            <w:r w:rsidR="00CA448C" w:rsidRPr="00F06BA2">
              <w:rPr>
                <w:rFonts w:eastAsia="Times New Roman" w:cs="Arial"/>
                <w:b/>
                <w:bCs/>
                <w:color w:val="000000"/>
                <w:sz w:val="20"/>
              </w:rPr>
              <w:t xml:space="preserve"> Control</w:t>
            </w:r>
          </w:p>
        </w:tc>
        <w:tc>
          <w:tcPr>
            <w:tcW w:w="1336" w:type="dxa"/>
            <w:shd w:val="clear" w:color="auto" w:fill="E7E6E6" w:themeFill="background2"/>
            <w:vAlign w:val="center"/>
            <w:hideMark/>
          </w:tcPr>
          <w:p w14:paraId="7D6B873F" w14:textId="7506154C" w:rsidR="00CA448C" w:rsidRPr="00F06BA2" w:rsidRDefault="00CA448C" w:rsidP="002D3EF7">
            <w:pPr>
              <w:spacing w:after="0" w:line="240" w:lineRule="auto"/>
              <w:rPr>
                <w:rFonts w:eastAsia="Times New Roman" w:cs="Arial"/>
                <w:b/>
                <w:bCs/>
                <w:color w:val="000000"/>
                <w:sz w:val="20"/>
              </w:rPr>
            </w:pPr>
            <w:r w:rsidRPr="00F06BA2">
              <w:rPr>
                <w:rFonts w:eastAsia="Times New Roman" w:cs="Arial"/>
                <w:b/>
                <w:bCs/>
                <w:color w:val="000000"/>
                <w:sz w:val="20"/>
              </w:rPr>
              <w:t>CO/VOC Control</w:t>
            </w:r>
          </w:p>
        </w:tc>
      </w:tr>
      <w:tr w:rsidR="006E111A" w:rsidRPr="00254F7E" w14:paraId="0443C50F" w14:textId="77777777" w:rsidTr="00891F3E">
        <w:trPr>
          <w:cantSplit/>
          <w:trHeight w:hRule="exact" w:val="576"/>
        </w:trPr>
        <w:tc>
          <w:tcPr>
            <w:tcW w:w="1677" w:type="dxa"/>
            <w:shd w:val="clear" w:color="auto" w:fill="auto"/>
            <w:noWrap/>
            <w:vAlign w:val="center"/>
            <w:hideMark/>
          </w:tcPr>
          <w:p w14:paraId="59CAEA7C"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Bowen 1 &amp; 2</w:t>
            </w:r>
          </w:p>
        </w:tc>
        <w:tc>
          <w:tcPr>
            <w:tcW w:w="1184" w:type="dxa"/>
            <w:shd w:val="clear" w:color="auto" w:fill="auto"/>
            <w:noWrap/>
            <w:vAlign w:val="center"/>
            <w:hideMark/>
          </w:tcPr>
          <w:p w14:paraId="5892741B" w14:textId="2BBC30BE" w:rsidR="00CA448C" w:rsidRPr="00433FF7" w:rsidRDefault="006E111A" w:rsidP="000E45F4">
            <w:pPr>
              <w:spacing w:before="0" w:after="0" w:line="240" w:lineRule="auto"/>
              <w:jc w:val="left"/>
              <w:rPr>
                <w:rFonts w:eastAsia="Times New Roman" w:cs="Arial"/>
                <w:color w:val="000000"/>
                <w:sz w:val="20"/>
              </w:rPr>
            </w:pPr>
            <w:r w:rsidRPr="00433FF7">
              <w:rPr>
                <w:rFonts w:eastAsia="Times New Roman" w:cs="Arial"/>
                <w:color w:val="000000"/>
                <w:sz w:val="20"/>
              </w:rPr>
              <w:t>Coal</w:t>
            </w:r>
          </w:p>
        </w:tc>
        <w:tc>
          <w:tcPr>
            <w:tcW w:w="1216" w:type="dxa"/>
            <w:shd w:val="clear" w:color="auto" w:fill="auto"/>
            <w:noWrap/>
            <w:vAlign w:val="center"/>
            <w:hideMark/>
          </w:tcPr>
          <w:p w14:paraId="057D2094" w14:textId="160510B2" w:rsidR="00CA448C" w:rsidRPr="00433FF7" w:rsidRDefault="005F51F4" w:rsidP="000E45F4">
            <w:pPr>
              <w:spacing w:before="0" w:after="0" w:line="240" w:lineRule="auto"/>
              <w:jc w:val="left"/>
              <w:rPr>
                <w:rFonts w:eastAsia="Times New Roman" w:cs="Arial"/>
                <w:color w:val="000000"/>
                <w:sz w:val="20"/>
              </w:rPr>
            </w:pPr>
            <w:r>
              <w:rPr>
                <w:rFonts w:eastAsia="Times New Roman" w:cs="Arial"/>
                <w:color w:val="000000"/>
                <w:sz w:val="20"/>
              </w:rPr>
              <w:t>LNCS</w:t>
            </w:r>
            <w:r w:rsidR="00CA448C" w:rsidRPr="00433FF7">
              <w:rPr>
                <w:rFonts w:eastAsia="Times New Roman" w:cs="Arial"/>
                <w:color w:val="000000"/>
                <w:sz w:val="20"/>
              </w:rPr>
              <w:t>/SCR</w:t>
            </w:r>
          </w:p>
        </w:tc>
        <w:tc>
          <w:tcPr>
            <w:tcW w:w="1027" w:type="dxa"/>
            <w:vAlign w:val="center"/>
          </w:tcPr>
          <w:p w14:paraId="2C578F68" w14:textId="6ED894ED" w:rsidR="00CA448C" w:rsidRPr="00433FF7" w:rsidRDefault="008E7BD4" w:rsidP="000E45F4">
            <w:pPr>
              <w:spacing w:before="0" w:after="0" w:line="240" w:lineRule="auto"/>
              <w:jc w:val="left"/>
              <w:rPr>
                <w:rFonts w:eastAsia="Times New Roman" w:cs="Arial"/>
                <w:color w:val="000000"/>
                <w:sz w:val="20"/>
              </w:rPr>
            </w:pPr>
            <w:r>
              <w:rPr>
                <w:rFonts w:eastAsia="Times New Roman" w:cs="Arial"/>
                <w:color w:val="000000"/>
                <w:sz w:val="20"/>
              </w:rPr>
              <w:t>Scrubber</w:t>
            </w:r>
          </w:p>
        </w:tc>
        <w:tc>
          <w:tcPr>
            <w:tcW w:w="1636" w:type="dxa"/>
            <w:vAlign w:val="center"/>
          </w:tcPr>
          <w:p w14:paraId="362540C1" w14:textId="543913BF"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ACI/ALK/MRCS</w:t>
            </w:r>
            <w:r w:rsidR="00B11CF1" w:rsidRPr="00433FF7">
              <w:rPr>
                <w:rFonts w:eastAsia="Times New Roman" w:cs="Arial"/>
                <w:color w:val="000000"/>
                <w:sz w:val="20"/>
              </w:rPr>
              <w:t xml:space="preserve"> </w:t>
            </w:r>
            <w:r w:rsidRPr="00433FF7">
              <w:rPr>
                <w:rFonts w:eastAsia="Times New Roman" w:cs="Arial"/>
                <w:color w:val="000000"/>
                <w:sz w:val="20"/>
              </w:rPr>
              <w:t>FGD/SCR</w:t>
            </w:r>
          </w:p>
        </w:tc>
        <w:tc>
          <w:tcPr>
            <w:tcW w:w="1264" w:type="dxa"/>
            <w:shd w:val="clear" w:color="auto" w:fill="auto"/>
            <w:noWrap/>
            <w:vAlign w:val="center"/>
            <w:hideMark/>
          </w:tcPr>
          <w:p w14:paraId="4E31F9E3" w14:textId="1967F20E"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ESP/FGD</w:t>
            </w:r>
          </w:p>
        </w:tc>
        <w:tc>
          <w:tcPr>
            <w:tcW w:w="1336" w:type="dxa"/>
            <w:shd w:val="clear" w:color="auto" w:fill="auto"/>
            <w:noWrap/>
            <w:vAlign w:val="center"/>
            <w:hideMark/>
          </w:tcPr>
          <w:p w14:paraId="6E4C6822"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r>
      <w:tr w:rsidR="006E111A" w:rsidRPr="00254F7E" w14:paraId="38635DED" w14:textId="77777777" w:rsidTr="00891F3E">
        <w:trPr>
          <w:cantSplit/>
          <w:trHeight w:hRule="exact" w:val="576"/>
        </w:trPr>
        <w:tc>
          <w:tcPr>
            <w:tcW w:w="1677" w:type="dxa"/>
            <w:shd w:val="clear" w:color="auto" w:fill="auto"/>
            <w:noWrap/>
            <w:vAlign w:val="center"/>
            <w:hideMark/>
          </w:tcPr>
          <w:p w14:paraId="36EB88B9"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Bowen 3 &amp; 4</w:t>
            </w:r>
          </w:p>
        </w:tc>
        <w:tc>
          <w:tcPr>
            <w:tcW w:w="1184" w:type="dxa"/>
            <w:shd w:val="clear" w:color="auto" w:fill="auto"/>
            <w:noWrap/>
            <w:vAlign w:val="center"/>
            <w:hideMark/>
          </w:tcPr>
          <w:p w14:paraId="04E8E47F" w14:textId="3D8D63BB" w:rsidR="00CA448C" w:rsidRPr="00433FF7" w:rsidRDefault="006E111A" w:rsidP="000E45F4">
            <w:pPr>
              <w:spacing w:before="0" w:after="0" w:line="240" w:lineRule="auto"/>
              <w:jc w:val="left"/>
              <w:rPr>
                <w:rFonts w:eastAsia="Times New Roman" w:cs="Arial"/>
                <w:color w:val="000000"/>
                <w:sz w:val="20"/>
              </w:rPr>
            </w:pPr>
            <w:r w:rsidRPr="00433FF7">
              <w:rPr>
                <w:rFonts w:eastAsia="Times New Roman" w:cs="Arial"/>
                <w:color w:val="000000"/>
                <w:sz w:val="20"/>
              </w:rPr>
              <w:t>Coal</w:t>
            </w:r>
          </w:p>
        </w:tc>
        <w:tc>
          <w:tcPr>
            <w:tcW w:w="1216" w:type="dxa"/>
            <w:shd w:val="clear" w:color="auto" w:fill="auto"/>
            <w:noWrap/>
            <w:vAlign w:val="center"/>
            <w:hideMark/>
          </w:tcPr>
          <w:p w14:paraId="759293F5" w14:textId="4AA86160" w:rsidR="00CA448C" w:rsidRPr="00433FF7" w:rsidRDefault="005F51F4" w:rsidP="000E45F4">
            <w:pPr>
              <w:spacing w:before="0" w:after="0" w:line="240" w:lineRule="auto"/>
              <w:jc w:val="left"/>
              <w:rPr>
                <w:rFonts w:eastAsia="Times New Roman" w:cs="Arial"/>
                <w:color w:val="000000"/>
                <w:sz w:val="20"/>
              </w:rPr>
            </w:pPr>
            <w:r>
              <w:rPr>
                <w:rFonts w:eastAsia="Times New Roman" w:cs="Arial"/>
                <w:color w:val="000000"/>
                <w:sz w:val="20"/>
              </w:rPr>
              <w:t>LNCS</w:t>
            </w:r>
            <w:r w:rsidR="00CA448C" w:rsidRPr="00433FF7">
              <w:rPr>
                <w:rFonts w:eastAsia="Times New Roman" w:cs="Arial"/>
                <w:color w:val="000000"/>
                <w:sz w:val="20"/>
              </w:rPr>
              <w:t>/SCR</w:t>
            </w:r>
          </w:p>
        </w:tc>
        <w:tc>
          <w:tcPr>
            <w:tcW w:w="1027" w:type="dxa"/>
            <w:vAlign w:val="center"/>
          </w:tcPr>
          <w:p w14:paraId="13430436" w14:textId="2D685BD6" w:rsidR="00CA448C" w:rsidRPr="00433FF7" w:rsidRDefault="008E7BD4" w:rsidP="000E45F4">
            <w:pPr>
              <w:spacing w:before="0" w:after="0" w:line="240" w:lineRule="auto"/>
              <w:jc w:val="left"/>
              <w:rPr>
                <w:rFonts w:eastAsia="Times New Roman" w:cs="Arial"/>
                <w:color w:val="000000"/>
                <w:sz w:val="20"/>
              </w:rPr>
            </w:pPr>
            <w:r>
              <w:rPr>
                <w:rFonts w:eastAsia="Times New Roman" w:cs="Arial"/>
                <w:color w:val="000000"/>
                <w:sz w:val="20"/>
              </w:rPr>
              <w:t>Scrubber</w:t>
            </w:r>
          </w:p>
        </w:tc>
        <w:tc>
          <w:tcPr>
            <w:tcW w:w="1636" w:type="dxa"/>
            <w:vAlign w:val="center"/>
          </w:tcPr>
          <w:p w14:paraId="0D0535CE" w14:textId="26576F24"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ACI/ALK/BH FGD/SCR</w:t>
            </w:r>
          </w:p>
        </w:tc>
        <w:tc>
          <w:tcPr>
            <w:tcW w:w="1264" w:type="dxa"/>
            <w:shd w:val="clear" w:color="auto" w:fill="auto"/>
            <w:noWrap/>
            <w:vAlign w:val="center"/>
            <w:hideMark/>
          </w:tcPr>
          <w:p w14:paraId="1BEDDD6E" w14:textId="3B005769"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ESP/B</w:t>
            </w:r>
            <w:r w:rsidR="00BF3766" w:rsidRPr="00433FF7">
              <w:rPr>
                <w:rFonts w:eastAsia="Times New Roman" w:cs="Arial"/>
                <w:color w:val="000000"/>
                <w:sz w:val="20"/>
              </w:rPr>
              <w:t>H</w:t>
            </w:r>
            <w:r w:rsidRPr="00433FF7">
              <w:rPr>
                <w:rFonts w:eastAsia="Times New Roman" w:cs="Arial"/>
                <w:color w:val="000000"/>
                <w:sz w:val="20"/>
              </w:rPr>
              <w:t>/FGD</w:t>
            </w:r>
          </w:p>
        </w:tc>
        <w:tc>
          <w:tcPr>
            <w:tcW w:w="1336" w:type="dxa"/>
            <w:shd w:val="clear" w:color="auto" w:fill="auto"/>
            <w:noWrap/>
            <w:vAlign w:val="center"/>
            <w:hideMark/>
          </w:tcPr>
          <w:p w14:paraId="0F548447"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r>
      <w:tr w:rsidR="006E111A" w:rsidRPr="00254F7E" w14:paraId="6457D67A" w14:textId="77777777" w:rsidTr="00891F3E">
        <w:trPr>
          <w:cantSplit/>
          <w:trHeight w:hRule="exact" w:val="533"/>
        </w:trPr>
        <w:tc>
          <w:tcPr>
            <w:tcW w:w="1677" w:type="dxa"/>
            <w:shd w:val="clear" w:color="auto" w:fill="auto"/>
            <w:noWrap/>
            <w:vAlign w:val="center"/>
            <w:hideMark/>
          </w:tcPr>
          <w:p w14:paraId="57172789" w14:textId="4C6957A6"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 xml:space="preserve">Gaston 1 </w:t>
            </w:r>
            <w:r w:rsidR="005C0A86">
              <w:rPr>
                <w:rFonts w:eastAsia="Times New Roman" w:cs="Arial"/>
                <w:color w:val="000000"/>
                <w:sz w:val="20"/>
              </w:rPr>
              <w:t>–</w:t>
            </w:r>
            <w:r w:rsidRPr="00433FF7">
              <w:rPr>
                <w:rFonts w:eastAsia="Times New Roman" w:cs="Arial"/>
                <w:color w:val="000000"/>
                <w:sz w:val="20"/>
              </w:rPr>
              <w:t xml:space="preserve"> 4</w:t>
            </w:r>
          </w:p>
        </w:tc>
        <w:tc>
          <w:tcPr>
            <w:tcW w:w="1184" w:type="dxa"/>
            <w:shd w:val="clear" w:color="auto" w:fill="auto"/>
            <w:noWrap/>
            <w:vAlign w:val="center"/>
            <w:hideMark/>
          </w:tcPr>
          <w:p w14:paraId="2E5495D3" w14:textId="338FE213" w:rsidR="00CA448C" w:rsidRPr="00433FF7" w:rsidRDefault="006E111A" w:rsidP="000E45F4">
            <w:pPr>
              <w:spacing w:before="0" w:after="0" w:line="240" w:lineRule="auto"/>
              <w:jc w:val="left"/>
              <w:rPr>
                <w:rFonts w:eastAsia="Times New Roman" w:cs="Arial"/>
                <w:color w:val="000000"/>
                <w:sz w:val="20"/>
              </w:rPr>
            </w:pPr>
            <w:r w:rsidRPr="00433FF7">
              <w:rPr>
                <w:rFonts w:eastAsia="Times New Roman" w:cs="Arial"/>
                <w:color w:val="000000"/>
                <w:sz w:val="20"/>
              </w:rPr>
              <w:t>Natural Gas</w:t>
            </w:r>
          </w:p>
        </w:tc>
        <w:tc>
          <w:tcPr>
            <w:tcW w:w="1216" w:type="dxa"/>
            <w:shd w:val="clear" w:color="auto" w:fill="auto"/>
            <w:noWrap/>
            <w:vAlign w:val="center"/>
            <w:hideMark/>
          </w:tcPr>
          <w:p w14:paraId="7E049E6F" w14:textId="73EEEF66" w:rsidR="00CA448C" w:rsidRPr="00433FF7" w:rsidRDefault="005F51F4" w:rsidP="000E45F4">
            <w:pPr>
              <w:spacing w:before="0" w:after="0" w:line="240" w:lineRule="auto"/>
              <w:jc w:val="left"/>
              <w:rPr>
                <w:rFonts w:eastAsia="Times New Roman" w:cs="Arial"/>
                <w:color w:val="000000"/>
                <w:sz w:val="20"/>
              </w:rPr>
            </w:pPr>
            <w:r>
              <w:rPr>
                <w:rFonts w:eastAsia="Times New Roman" w:cs="Arial"/>
                <w:color w:val="000000"/>
                <w:sz w:val="20"/>
              </w:rPr>
              <w:t>LNCS</w:t>
            </w:r>
          </w:p>
        </w:tc>
        <w:tc>
          <w:tcPr>
            <w:tcW w:w="1027" w:type="dxa"/>
            <w:vAlign w:val="center"/>
          </w:tcPr>
          <w:p w14:paraId="123EFFEA"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636" w:type="dxa"/>
            <w:vAlign w:val="center"/>
          </w:tcPr>
          <w:p w14:paraId="15EC6397"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264" w:type="dxa"/>
            <w:shd w:val="clear" w:color="auto" w:fill="auto"/>
            <w:noWrap/>
            <w:vAlign w:val="center"/>
            <w:hideMark/>
          </w:tcPr>
          <w:p w14:paraId="28B55872"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336" w:type="dxa"/>
            <w:shd w:val="clear" w:color="auto" w:fill="auto"/>
            <w:noWrap/>
            <w:vAlign w:val="center"/>
            <w:hideMark/>
          </w:tcPr>
          <w:p w14:paraId="500ED6EB"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r>
      <w:tr w:rsidR="006E111A" w:rsidRPr="00254F7E" w14:paraId="5D5921AA" w14:textId="77777777" w:rsidTr="00891F3E">
        <w:trPr>
          <w:cantSplit/>
          <w:trHeight w:hRule="exact" w:val="614"/>
        </w:trPr>
        <w:tc>
          <w:tcPr>
            <w:tcW w:w="1677" w:type="dxa"/>
            <w:shd w:val="clear" w:color="auto" w:fill="auto"/>
            <w:noWrap/>
            <w:vAlign w:val="center"/>
            <w:hideMark/>
          </w:tcPr>
          <w:p w14:paraId="18CBEFBF" w14:textId="25F095F8"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themeColor="text1"/>
                <w:sz w:val="20"/>
              </w:rPr>
              <w:t>McDonough 4</w:t>
            </w:r>
            <w:r w:rsidR="006853D3">
              <w:rPr>
                <w:rFonts w:eastAsia="Times New Roman" w:cs="Arial"/>
                <w:color w:val="000000" w:themeColor="text1"/>
                <w:sz w:val="20"/>
              </w:rPr>
              <w:t xml:space="preserve"> </w:t>
            </w:r>
            <w:r w:rsidR="005C0A86">
              <w:rPr>
                <w:rFonts w:eastAsia="Times New Roman" w:cs="Arial"/>
                <w:color w:val="000000" w:themeColor="text1"/>
                <w:sz w:val="20"/>
              </w:rPr>
              <w:t>–</w:t>
            </w:r>
            <w:r w:rsidR="006853D3">
              <w:rPr>
                <w:rFonts w:eastAsia="Times New Roman" w:cs="Arial"/>
                <w:color w:val="000000" w:themeColor="text1"/>
                <w:sz w:val="20"/>
              </w:rPr>
              <w:t xml:space="preserve"> 6</w:t>
            </w:r>
          </w:p>
        </w:tc>
        <w:tc>
          <w:tcPr>
            <w:tcW w:w="1184" w:type="dxa"/>
            <w:shd w:val="clear" w:color="auto" w:fill="auto"/>
            <w:noWrap/>
            <w:vAlign w:val="center"/>
            <w:hideMark/>
          </w:tcPr>
          <w:p w14:paraId="62B93BAA" w14:textId="62036CA3" w:rsidR="00CA448C" w:rsidRPr="00433FF7" w:rsidRDefault="006E111A" w:rsidP="000E45F4">
            <w:pPr>
              <w:spacing w:before="0" w:after="0" w:line="240" w:lineRule="auto"/>
              <w:jc w:val="left"/>
              <w:rPr>
                <w:rFonts w:eastAsia="Times New Roman" w:cs="Arial"/>
                <w:color w:val="000000"/>
                <w:sz w:val="20"/>
              </w:rPr>
            </w:pPr>
            <w:r w:rsidRPr="00433FF7">
              <w:rPr>
                <w:rFonts w:eastAsia="Times New Roman" w:cs="Arial"/>
                <w:color w:val="000000"/>
                <w:sz w:val="20"/>
              </w:rPr>
              <w:t>Natural Gas</w:t>
            </w:r>
          </w:p>
        </w:tc>
        <w:tc>
          <w:tcPr>
            <w:tcW w:w="1216" w:type="dxa"/>
            <w:shd w:val="clear" w:color="auto" w:fill="auto"/>
            <w:noWrap/>
            <w:vAlign w:val="center"/>
            <w:hideMark/>
          </w:tcPr>
          <w:p w14:paraId="7732DB52" w14:textId="4B72D6E7" w:rsidR="00CA448C" w:rsidRPr="00433FF7" w:rsidRDefault="009D7B93" w:rsidP="000E45F4">
            <w:pPr>
              <w:spacing w:before="0" w:after="0" w:line="240" w:lineRule="auto"/>
              <w:jc w:val="left"/>
              <w:rPr>
                <w:rFonts w:eastAsia="Times New Roman" w:cs="Arial"/>
                <w:color w:val="000000"/>
                <w:sz w:val="20"/>
              </w:rPr>
            </w:pPr>
            <w:r>
              <w:rPr>
                <w:rFonts w:eastAsia="Times New Roman" w:cs="Arial"/>
                <w:color w:val="000000"/>
                <w:sz w:val="20"/>
              </w:rPr>
              <w:t>LNCS</w:t>
            </w:r>
            <w:r w:rsidR="00CA448C" w:rsidRPr="00433FF7">
              <w:rPr>
                <w:rFonts w:eastAsia="Times New Roman" w:cs="Arial"/>
                <w:color w:val="000000"/>
                <w:sz w:val="20"/>
              </w:rPr>
              <w:t>/SCR</w:t>
            </w:r>
          </w:p>
        </w:tc>
        <w:tc>
          <w:tcPr>
            <w:tcW w:w="1027" w:type="dxa"/>
            <w:vAlign w:val="center"/>
          </w:tcPr>
          <w:p w14:paraId="7514CE93"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636" w:type="dxa"/>
            <w:vAlign w:val="center"/>
          </w:tcPr>
          <w:p w14:paraId="3A45CBEC"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264" w:type="dxa"/>
            <w:shd w:val="clear" w:color="auto" w:fill="auto"/>
            <w:noWrap/>
            <w:vAlign w:val="center"/>
            <w:hideMark/>
          </w:tcPr>
          <w:p w14:paraId="22ACF394"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336" w:type="dxa"/>
            <w:shd w:val="clear" w:color="auto" w:fill="auto"/>
            <w:noWrap/>
            <w:vAlign w:val="center"/>
            <w:hideMark/>
          </w:tcPr>
          <w:p w14:paraId="60093C3F" w14:textId="18F903AF" w:rsidR="00CA448C" w:rsidRPr="00433FF7" w:rsidRDefault="007744D1" w:rsidP="000E45F4">
            <w:pPr>
              <w:spacing w:before="0" w:after="0" w:line="240" w:lineRule="auto"/>
              <w:jc w:val="left"/>
              <w:rPr>
                <w:rFonts w:eastAsia="Times New Roman" w:cs="Arial"/>
                <w:color w:val="000000"/>
                <w:sz w:val="20"/>
              </w:rPr>
            </w:pPr>
            <w:r>
              <w:rPr>
                <w:rFonts w:eastAsia="Times New Roman" w:cs="Arial"/>
                <w:color w:val="000000"/>
                <w:sz w:val="20"/>
              </w:rPr>
              <w:t>OC</w:t>
            </w:r>
          </w:p>
        </w:tc>
      </w:tr>
      <w:tr w:rsidR="006E111A" w:rsidRPr="00254F7E" w14:paraId="1FE40DE3" w14:textId="77777777" w:rsidTr="00891F3E">
        <w:trPr>
          <w:cantSplit/>
          <w:trHeight w:hRule="exact" w:val="704"/>
        </w:trPr>
        <w:tc>
          <w:tcPr>
            <w:tcW w:w="1677" w:type="dxa"/>
            <w:shd w:val="clear" w:color="auto" w:fill="auto"/>
            <w:noWrap/>
            <w:vAlign w:val="center"/>
            <w:hideMark/>
          </w:tcPr>
          <w:p w14:paraId="3F6D5C5C"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themeColor="text1"/>
                <w:sz w:val="20"/>
              </w:rPr>
              <w:t>McIntosh 10 &amp; 11</w:t>
            </w:r>
          </w:p>
        </w:tc>
        <w:tc>
          <w:tcPr>
            <w:tcW w:w="1184" w:type="dxa"/>
            <w:shd w:val="clear" w:color="auto" w:fill="auto"/>
            <w:noWrap/>
            <w:vAlign w:val="center"/>
            <w:hideMark/>
          </w:tcPr>
          <w:p w14:paraId="617D1AF3" w14:textId="6C1EA9B6" w:rsidR="00CA448C" w:rsidRPr="00433FF7" w:rsidRDefault="006E111A" w:rsidP="000E45F4">
            <w:pPr>
              <w:spacing w:before="0" w:after="0" w:line="240" w:lineRule="auto"/>
              <w:jc w:val="left"/>
              <w:rPr>
                <w:rFonts w:eastAsia="Times New Roman" w:cs="Arial"/>
                <w:color w:val="000000"/>
                <w:sz w:val="20"/>
              </w:rPr>
            </w:pPr>
            <w:r w:rsidRPr="00433FF7">
              <w:rPr>
                <w:rFonts w:eastAsia="Times New Roman" w:cs="Arial"/>
                <w:color w:val="000000"/>
                <w:sz w:val="20"/>
              </w:rPr>
              <w:t>Natural Gas</w:t>
            </w:r>
          </w:p>
        </w:tc>
        <w:tc>
          <w:tcPr>
            <w:tcW w:w="1216" w:type="dxa"/>
            <w:shd w:val="clear" w:color="auto" w:fill="auto"/>
            <w:noWrap/>
            <w:vAlign w:val="center"/>
            <w:hideMark/>
          </w:tcPr>
          <w:p w14:paraId="177FBAD7" w14:textId="36D27E4C" w:rsidR="00CA448C" w:rsidRPr="00433FF7" w:rsidRDefault="009D7B93" w:rsidP="000E45F4">
            <w:pPr>
              <w:spacing w:before="0" w:after="0" w:line="240" w:lineRule="auto"/>
              <w:jc w:val="left"/>
              <w:rPr>
                <w:rFonts w:eastAsia="Times New Roman" w:cs="Arial"/>
                <w:color w:val="000000"/>
                <w:sz w:val="20"/>
              </w:rPr>
            </w:pPr>
            <w:r>
              <w:rPr>
                <w:rFonts w:eastAsia="Times New Roman" w:cs="Arial"/>
                <w:color w:val="000000"/>
                <w:sz w:val="20"/>
              </w:rPr>
              <w:t>LNCS</w:t>
            </w:r>
            <w:r w:rsidR="00CA448C" w:rsidRPr="00433FF7">
              <w:rPr>
                <w:rFonts w:eastAsia="Times New Roman" w:cs="Arial"/>
                <w:color w:val="000000"/>
                <w:sz w:val="20"/>
              </w:rPr>
              <w:t>/SCR</w:t>
            </w:r>
          </w:p>
        </w:tc>
        <w:tc>
          <w:tcPr>
            <w:tcW w:w="1027" w:type="dxa"/>
            <w:vAlign w:val="center"/>
          </w:tcPr>
          <w:p w14:paraId="1A2F866D"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636" w:type="dxa"/>
            <w:vAlign w:val="center"/>
          </w:tcPr>
          <w:p w14:paraId="2C44BF8B"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264" w:type="dxa"/>
            <w:shd w:val="clear" w:color="auto" w:fill="auto"/>
            <w:noWrap/>
            <w:vAlign w:val="center"/>
            <w:hideMark/>
          </w:tcPr>
          <w:p w14:paraId="6474F6F5"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c>
          <w:tcPr>
            <w:tcW w:w="1336" w:type="dxa"/>
            <w:shd w:val="clear" w:color="auto" w:fill="auto"/>
            <w:noWrap/>
            <w:vAlign w:val="center"/>
            <w:hideMark/>
          </w:tcPr>
          <w:p w14:paraId="76330F6F" w14:textId="3589653E"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O</w:t>
            </w:r>
            <w:r w:rsidR="007744D1">
              <w:rPr>
                <w:rFonts w:eastAsia="Times New Roman" w:cs="Arial"/>
                <w:color w:val="000000"/>
                <w:sz w:val="20"/>
              </w:rPr>
              <w:t>C</w:t>
            </w:r>
          </w:p>
        </w:tc>
      </w:tr>
      <w:tr w:rsidR="00D1467A" w:rsidRPr="00254F7E" w14:paraId="59A153DF" w14:textId="77777777" w:rsidTr="00891F3E">
        <w:trPr>
          <w:cantSplit/>
          <w:trHeight w:hRule="exact" w:val="569"/>
        </w:trPr>
        <w:tc>
          <w:tcPr>
            <w:tcW w:w="1677" w:type="dxa"/>
            <w:shd w:val="clear" w:color="auto" w:fill="auto"/>
            <w:noWrap/>
            <w:vAlign w:val="center"/>
            <w:hideMark/>
          </w:tcPr>
          <w:p w14:paraId="0AF57AFC" w14:textId="0D4CEA01"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 xml:space="preserve">Scherer 1 </w:t>
            </w:r>
            <w:r w:rsidR="005C0A86">
              <w:rPr>
                <w:rFonts w:eastAsia="Times New Roman" w:cs="Arial"/>
                <w:color w:val="000000"/>
                <w:sz w:val="20"/>
              </w:rPr>
              <w:t>–</w:t>
            </w:r>
            <w:r w:rsidRPr="00433FF7">
              <w:rPr>
                <w:rFonts w:eastAsia="Times New Roman" w:cs="Arial"/>
                <w:color w:val="000000"/>
                <w:sz w:val="20"/>
              </w:rPr>
              <w:t xml:space="preserve"> 3</w:t>
            </w:r>
          </w:p>
        </w:tc>
        <w:tc>
          <w:tcPr>
            <w:tcW w:w="1184" w:type="dxa"/>
            <w:shd w:val="clear" w:color="auto" w:fill="auto"/>
            <w:noWrap/>
            <w:vAlign w:val="center"/>
            <w:hideMark/>
          </w:tcPr>
          <w:p w14:paraId="067BCDE6" w14:textId="5B3BF52F" w:rsidR="00CA448C" w:rsidRPr="00433FF7" w:rsidRDefault="006E111A" w:rsidP="000E45F4">
            <w:pPr>
              <w:spacing w:before="0" w:after="0" w:line="240" w:lineRule="auto"/>
              <w:jc w:val="left"/>
              <w:rPr>
                <w:rFonts w:eastAsia="Times New Roman" w:cs="Arial"/>
                <w:color w:val="000000"/>
                <w:sz w:val="20"/>
              </w:rPr>
            </w:pPr>
            <w:r w:rsidRPr="00433FF7">
              <w:rPr>
                <w:rFonts w:eastAsia="Times New Roman" w:cs="Arial"/>
                <w:color w:val="000000"/>
                <w:sz w:val="20"/>
              </w:rPr>
              <w:t>Coal</w:t>
            </w:r>
          </w:p>
        </w:tc>
        <w:tc>
          <w:tcPr>
            <w:tcW w:w="1216" w:type="dxa"/>
            <w:shd w:val="clear" w:color="auto" w:fill="auto"/>
            <w:noWrap/>
            <w:vAlign w:val="center"/>
            <w:hideMark/>
          </w:tcPr>
          <w:p w14:paraId="56969472" w14:textId="7C377322"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LNCS/SCR</w:t>
            </w:r>
          </w:p>
        </w:tc>
        <w:tc>
          <w:tcPr>
            <w:tcW w:w="1027" w:type="dxa"/>
            <w:vAlign w:val="center"/>
          </w:tcPr>
          <w:p w14:paraId="69C9B37A" w14:textId="2FE1F7C9" w:rsidR="00CA448C" w:rsidRPr="00433FF7" w:rsidRDefault="008E7BD4" w:rsidP="000E45F4">
            <w:pPr>
              <w:spacing w:before="0" w:after="0" w:line="240" w:lineRule="auto"/>
              <w:jc w:val="left"/>
              <w:rPr>
                <w:rFonts w:eastAsia="Times New Roman" w:cs="Arial"/>
                <w:color w:val="000000"/>
                <w:sz w:val="20"/>
              </w:rPr>
            </w:pPr>
            <w:r>
              <w:rPr>
                <w:rFonts w:eastAsia="Times New Roman" w:cs="Arial"/>
                <w:color w:val="000000"/>
                <w:sz w:val="20"/>
              </w:rPr>
              <w:t>Scrubber</w:t>
            </w:r>
          </w:p>
        </w:tc>
        <w:tc>
          <w:tcPr>
            <w:tcW w:w="1636" w:type="dxa"/>
            <w:vAlign w:val="center"/>
          </w:tcPr>
          <w:p w14:paraId="79F735E5" w14:textId="635F0BA5"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BH/ACI</w:t>
            </w:r>
          </w:p>
        </w:tc>
        <w:tc>
          <w:tcPr>
            <w:tcW w:w="1264" w:type="dxa"/>
            <w:shd w:val="clear" w:color="auto" w:fill="auto"/>
            <w:noWrap/>
            <w:vAlign w:val="center"/>
            <w:hideMark/>
          </w:tcPr>
          <w:p w14:paraId="1BDB8595" w14:textId="3F4669E1"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ESP/BH/FGD</w:t>
            </w:r>
          </w:p>
        </w:tc>
        <w:tc>
          <w:tcPr>
            <w:tcW w:w="1336" w:type="dxa"/>
            <w:shd w:val="clear" w:color="auto" w:fill="auto"/>
            <w:noWrap/>
            <w:vAlign w:val="center"/>
            <w:hideMark/>
          </w:tcPr>
          <w:p w14:paraId="4FA0747A" w14:textId="77777777" w:rsidR="00CA448C" w:rsidRPr="00433FF7" w:rsidRDefault="00CA448C" w:rsidP="000E45F4">
            <w:pPr>
              <w:spacing w:before="0" w:after="0" w:line="240" w:lineRule="auto"/>
              <w:jc w:val="left"/>
              <w:rPr>
                <w:rFonts w:eastAsia="Times New Roman" w:cs="Arial"/>
                <w:color w:val="000000"/>
                <w:sz w:val="20"/>
              </w:rPr>
            </w:pPr>
            <w:r w:rsidRPr="00433FF7">
              <w:rPr>
                <w:rFonts w:eastAsia="Times New Roman" w:cs="Arial"/>
                <w:color w:val="000000"/>
                <w:sz w:val="20"/>
              </w:rPr>
              <w:t>N/A</w:t>
            </w:r>
          </w:p>
        </w:tc>
      </w:tr>
      <w:tr w:rsidR="006E111A" w:rsidRPr="00254F7E" w14:paraId="2553C137" w14:textId="77777777" w:rsidTr="00891F3E">
        <w:trPr>
          <w:cantSplit/>
          <w:trHeight w:hRule="exact" w:val="569"/>
        </w:trPr>
        <w:tc>
          <w:tcPr>
            <w:tcW w:w="1677" w:type="dxa"/>
            <w:shd w:val="clear" w:color="auto" w:fill="auto"/>
            <w:noWrap/>
            <w:vAlign w:val="center"/>
            <w:hideMark/>
          </w:tcPr>
          <w:p w14:paraId="1D1B6CE7" w14:textId="77777777" w:rsidR="00CA448C" w:rsidRPr="00433FF7" w:rsidRDefault="00CA448C" w:rsidP="000E45F4">
            <w:pPr>
              <w:spacing w:before="0" w:after="0" w:line="240" w:lineRule="auto"/>
              <w:rPr>
                <w:rFonts w:eastAsia="Times New Roman" w:cs="Arial"/>
                <w:color w:val="000000"/>
                <w:sz w:val="20"/>
              </w:rPr>
            </w:pPr>
            <w:r w:rsidRPr="00433FF7">
              <w:rPr>
                <w:rFonts w:eastAsia="Times New Roman" w:cs="Arial"/>
                <w:color w:val="000000"/>
                <w:sz w:val="20"/>
              </w:rPr>
              <w:t>Yates 6 &amp; 7</w:t>
            </w:r>
          </w:p>
        </w:tc>
        <w:tc>
          <w:tcPr>
            <w:tcW w:w="1184" w:type="dxa"/>
            <w:shd w:val="clear" w:color="auto" w:fill="auto"/>
            <w:noWrap/>
            <w:vAlign w:val="center"/>
            <w:hideMark/>
          </w:tcPr>
          <w:p w14:paraId="402D9A0F" w14:textId="101BB337" w:rsidR="00CA448C" w:rsidRPr="00433FF7" w:rsidRDefault="006E111A" w:rsidP="000E45F4">
            <w:pPr>
              <w:spacing w:before="0" w:after="0" w:line="240" w:lineRule="auto"/>
              <w:rPr>
                <w:rFonts w:eastAsia="Times New Roman" w:cs="Arial"/>
                <w:color w:val="000000"/>
                <w:sz w:val="20"/>
              </w:rPr>
            </w:pPr>
            <w:r w:rsidRPr="00433FF7">
              <w:rPr>
                <w:rFonts w:eastAsia="Times New Roman" w:cs="Arial"/>
                <w:color w:val="000000"/>
                <w:sz w:val="20"/>
              </w:rPr>
              <w:t>Natural Gas</w:t>
            </w:r>
          </w:p>
        </w:tc>
        <w:tc>
          <w:tcPr>
            <w:tcW w:w="1216" w:type="dxa"/>
            <w:shd w:val="clear" w:color="auto" w:fill="auto"/>
            <w:noWrap/>
            <w:vAlign w:val="center"/>
            <w:hideMark/>
          </w:tcPr>
          <w:p w14:paraId="307BF782" w14:textId="5780E4BF" w:rsidR="00CA448C" w:rsidRPr="00433FF7" w:rsidRDefault="00CA448C" w:rsidP="000E45F4">
            <w:pPr>
              <w:spacing w:before="0" w:after="0" w:line="240" w:lineRule="auto"/>
              <w:rPr>
                <w:rFonts w:eastAsia="Times New Roman" w:cs="Arial"/>
                <w:color w:val="000000"/>
                <w:sz w:val="20"/>
              </w:rPr>
            </w:pPr>
            <w:r w:rsidRPr="00433FF7">
              <w:rPr>
                <w:rFonts w:eastAsia="Times New Roman" w:cs="Arial"/>
                <w:color w:val="000000"/>
                <w:sz w:val="20"/>
              </w:rPr>
              <w:t>LN</w:t>
            </w:r>
            <w:r w:rsidR="009D7B93">
              <w:rPr>
                <w:rFonts w:eastAsia="Times New Roman" w:cs="Arial"/>
                <w:color w:val="000000"/>
                <w:sz w:val="20"/>
              </w:rPr>
              <w:t>CS</w:t>
            </w:r>
          </w:p>
        </w:tc>
        <w:tc>
          <w:tcPr>
            <w:tcW w:w="1027" w:type="dxa"/>
            <w:vAlign w:val="center"/>
          </w:tcPr>
          <w:p w14:paraId="1ED309B3" w14:textId="77777777" w:rsidR="00CA448C" w:rsidRPr="00433FF7" w:rsidRDefault="00CA448C" w:rsidP="000E45F4">
            <w:pPr>
              <w:spacing w:before="0" w:after="0" w:line="240" w:lineRule="auto"/>
              <w:rPr>
                <w:rFonts w:eastAsia="Times New Roman" w:cs="Arial"/>
                <w:color w:val="000000"/>
                <w:sz w:val="20"/>
              </w:rPr>
            </w:pPr>
            <w:r w:rsidRPr="00433FF7">
              <w:rPr>
                <w:rFonts w:eastAsia="Times New Roman" w:cs="Arial"/>
                <w:color w:val="000000"/>
                <w:sz w:val="20"/>
              </w:rPr>
              <w:t>N/A</w:t>
            </w:r>
          </w:p>
        </w:tc>
        <w:tc>
          <w:tcPr>
            <w:tcW w:w="1636" w:type="dxa"/>
            <w:vAlign w:val="center"/>
          </w:tcPr>
          <w:p w14:paraId="2127D8D8" w14:textId="77777777" w:rsidR="00CA448C" w:rsidRPr="00433FF7" w:rsidRDefault="00CA448C" w:rsidP="000E45F4">
            <w:pPr>
              <w:spacing w:before="0" w:after="0" w:line="240" w:lineRule="auto"/>
              <w:rPr>
                <w:rFonts w:eastAsia="Times New Roman" w:cs="Arial"/>
                <w:color w:val="000000"/>
                <w:sz w:val="20"/>
              </w:rPr>
            </w:pPr>
            <w:r w:rsidRPr="00433FF7">
              <w:rPr>
                <w:rFonts w:eastAsia="Times New Roman" w:cs="Arial"/>
                <w:color w:val="000000"/>
                <w:sz w:val="20"/>
              </w:rPr>
              <w:t>N/A</w:t>
            </w:r>
          </w:p>
        </w:tc>
        <w:tc>
          <w:tcPr>
            <w:tcW w:w="1264" w:type="dxa"/>
            <w:shd w:val="clear" w:color="auto" w:fill="auto"/>
            <w:noWrap/>
            <w:vAlign w:val="center"/>
            <w:hideMark/>
          </w:tcPr>
          <w:p w14:paraId="10B68E85" w14:textId="77777777" w:rsidR="00CA448C" w:rsidRPr="00433FF7" w:rsidRDefault="00CA448C" w:rsidP="000E45F4">
            <w:pPr>
              <w:spacing w:before="0" w:after="0" w:line="240" w:lineRule="auto"/>
              <w:rPr>
                <w:rFonts w:eastAsia="Times New Roman" w:cs="Arial"/>
                <w:color w:val="000000"/>
                <w:sz w:val="20"/>
              </w:rPr>
            </w:pPr>
            <w:r w:rsidRPr="00433FF7">
              <w:rPr>
                <w:rFonts w:eastAsia="Times New Roman" w:cs="Arial"/>
                <w:color w:val="000000"/>
                <w:sz w:val="20"/>
              </w:rPr>
              <w:t>N/A</w:t>
            </w:r>
          </w:p>
        </w:tc>
        <w:tc>
          <w:tcPr>
            <w:tcW w:w="1336" w:type="dxa"/>
            <w:shd w:val="clear" w:color="auto" w:fill="auto"/>
            <w:noWrap/>
            <w:vAlign w:val="center"/>
            <w:hideMark/>
          </w:tcPr>
          <w:p w14:paraId="468632B2" w14:textId="47BCDDCA" w:rsidR="00CA448C" w:rsidRPr="00433FF7" w:rsidRDefault="00EE041B" w:rsidP="000E45F4">
            <w:pPr>
              <w:spacing w:before="0" w:after="0" w:line="240" w:lineRule="auto"/>
              <w:rPr>
                <w:rFonts w:eastAsia="Times New Roman" w:cs="Arial"/>
                <w:color w:val="000000"/>
                <w:sz w:val="20"/>
              </w:rPr>
            </w:pPr>
            <w:r>
              <w:rPr>
                <w:rFonts w:eastAsia="Times New Roman" w:cs="Arial"/>
                <w:color w:val="000000"/>
                <w:sz w:val="20"/>
              </w:rPr>
              <w:t>OC</w:t>
            </w:r>
          </w:p>
        </w:tc>
      </w:tr>
      <w:tr w:rsidR="008965A5" w:rsidRPr="00254F7E" w14:paraId="4CD2E89F" w14:textId="77777777" w:rsidTr="00891F3E">
        <w:trPr>
          <w:cantSplit/>
          <w:trHeight w:hRule="exact" w:val="596"/>
        </w:trPr>
        <w:tc>
          <w:tcPr>
            <w:tcW w:w="1677" w:type="dxa"/>
            <w:shd w:val="clear" w:color="auto" w:fill="auto"/>
            <w:noWrap/>
            <w:vAlign w:val="center"/>
          </w:tcPr>
          <w:p w14:paraId="0F10603C" w14:textId="4593A046" w:rsidR="008965A5" w:rsidRPr="00433FF7" w:rsidRDefault="008965A5" w:rsidP="000E45F4">
            <w:pPr>
              <w:spacing w:before="0" w:after="0" w:line="240" w:lineRule="auto"/>
              <w:rPr>
                <w:rFonts w:eastAsia="Times New Roman" w:cs="Arial"/>
                <w:color w:val="000000"/>
                <w:sz w:val="20"/>
              </w:rPr>
            </w:pPr>
            <w:r>
              <w:rPr>
                <w:rFonts w:eastAsia="Times New Roman" w:cs="Arial"/>
                <w:color w:val="000000"/>
                <w:sz w:val="20"/>
              </w:rPr>
              <w:t>Yates 8</w:t>
            </w:r>
            <w:r w:rsidR="00842C10">
              <w:rPr>
                <w:rFonts w:eastAsia="Times New Roman" w:cs="Arial"/>
                <w:color w:val="000000"/>
                <w:sz w:val="20"/>
              </w:rPr>
              <w:t xml:space="preserve"> –</w:t>
            </w:r>
            <w:r w:rsidR="00842C10" w:rsidRPr="00433FF7">
              <w:rPr>
                <w:rFonts w:eastAsia="Times New Roman" w:cs="Arial"/>
                <w:color w:val="000000"/>
                <w:sz w:val="20"/>
              </w:rPr>
              <w:t xml:space="preserve"> </w:t>
            </w:r>
            <w:r>
              <w:rPr>
                <w:rFonts w:eastAsia="Times New Roman" w:cs="Arial"/>
                <w:color w:val="000000"/>
                <w:sz w:val="20"/>
              </w:rPr>
              <w:t>10</w:t>
            </w:r>
          </w:p>
        </w:tc>
        <w:tc>
          <w:tcPr>
            <w:tcW w:w="1184" w:type="dxa"/>
            <w:shd w:val="clear" w:color="auto" w:fill="auto"/>
            <w:noWrap/>
            <w:vAlign w:val="center"/>
          </w:tcPr>
          <w:p w14:paraId="0248A1E9" w14:textId="14644254" w:rsidR="008965A5" w:rsidRPr="00433FF7" w:rsidRDefault="008965A5" w:rsidP="000E45F4">
            <w:pPr>
              <w:spacing w:before="0" w:after="0" w:line="240" w:lineRule="auto"/>
              <w:rPr>
                <w:rFonts w:eastAsia="Times New Roman" w:cs="Arial"/>
                <w:color w:val="000000"/>
                <w:sz w:val="20"/>
              </w:rPr>
            </w:pPr>
            <w:r>
              <w:rPr>
                <w:rFonts w:eastAsia="Times New Roman" w:cs="Arial"/>
                <w:color w:val="000000"/>
                <w:sz w:val="20"/>
              </w:rPr>
              <w:t>Natural Gas</w:t>
            </w:r>
          </w:p>
        </w:tc>
        <w:tc>
          <w:tcPr>
            <w:tcW w:w="1216" w:type="dxa"/>
            <w:shd w:val="clear" w:color="auto" w:fill="auto"/>
            <w:noWrap/>
            <w:vAlign w:val="center"/>
          </w:tcPr>
          <w:p w14:paraId="37781F64" w14:textId="5719D09A" w:rsidR="008965A5" w:rsidRPr="00433FF7" w:rsidRDefault="008965A5" w:rsidP="000E45F4">
            <w:pPr>
              <w:spacing w:before="0" w:after="0" w:line="240" w:lineRule="auto"/>
              <w:rPr>
                <w:rFonts w:eastAsia="Times New Roman" w:cs="Arial"/>
                <w:color w:val="000000"/>
                <w:sz w:val="20"/>
              </w:rPr>
            </w:pPr>
            <w:r>
              <w:rPr>
                <w:rFonts w:eastAsia="Times New Roman" w:cs="Arial"/>
                <w:color w:val="000000"/>
                <w:sz w:val="20"/>
              </w:rPr>
              <w:t>LNCS</w:t>
            </w:r>
            <w:r w:rsidRPr="00433FF7">
              <w:rPr>
                <w:rFonts w:eastAsia="Times New Roman" w:cs="Arial"/>
                <w:color w:val="000000"/>
                <w:sz w:val="20"/>
              </w:rPr>
              <w:t>/SCR</w:t>
            </w:r>
          </w:p>
        </w:tc>
        <w:tc>
          <w:tcPr>
            <w:tcW w:w="1027" w:type="dxa"/>
            <w:vAlign w:val="center"/>
          </w:tcPr>
          <w:p w14:paraId="16591E91" w14:textId="010239CC" w:rsidR="008965A5" w:rsidRPr="00433FF7" w:rsidRDefault="008965A5" w:rsidP="000E45F4">
            <w:pPr>
              <w:spacing w:before="0" w:after="0" w:line="240" w:lineRule="auto"/>
              <w:rPr>
                <w:rFonts w:eastAsia="Times New Roman" w:cs="Arial"/>
                <w:color w:val="000000"/>
                <w:sz w:val="20"/>
              </w:rPr>
            </w:pPr>
            <w:r w:rsidRPr="00433FF7">
              <w:rPr>
                <w:rFonts w:eastAsia="Times New Roman" w:cs="Arial"/>
                <w:color w:val="000000"/>
                <w:sz w:val="20"/>
              </w:rPr>
              <w:t>N/A</w:t>
            </w:r>
          </w:p>
        </w:tc>
        <w:tc>
          <w:tcPr>
            <w:tcW w:w="1636" w:type="dxa"/>
            <w:vAlign w:val="center"/>
          </w:tcPr>
          <w:p w14:paraId="73F665FB" w14:textId="4D700094" w:rsidR="008965A5" w:rsidRPr="00433FF7" w:rsidRDefault="008965A5" w:rsidP="000E45F4">
            <w:pPr>
              <w:spacing w:before="0" w:after="0" w:line="240" w:lineRule="auto"/>
              <w:rPr>
                <w:rFonts w:eastAsia="Times New Roman" w:cs="Arial"/>
                <w:color w:val="000000"/>
                <w:sz w:val="20"/>
              </w:rPr>
            </w:pPr>
            <w:r w:rsidRPr="00433FF7">
              <w:rPr>
                <w:rFonts w:eastAsia="Times New Roman" w:cs="Arial"/>
                <w:color w:val="000000"/>
                <w:sz w:val="20"/>
              </w:rPr>
              <w:t>N/A</w:t>
            </w:r>
          </w:p>
        </w:tc>
        <w:tc>
          <w:tcPr>
            <w:tcW w:w="1264" w:type="dxa"/>
            <w:shd w:val="clear" w:color="auto" w:fill="auto"/>
            <w:noWrap/>
            <w:vAlign w:val="center"/>
          </w:tcPr>
          <w:p w14:paraId="4EB34F0F" w14:textId="5CD313D1" w:rsidR="008965A5" w:rsidRPr="00433FF7" w:rsidRDefault="008965A5" w:rsidP="000E45F4">
            <w:pPr>
              <w:spacing w:before="0" w:after="0" w:line="240" w:lineRule="auto"/>
              <w:rPr>
                <w:rFonts w:eastAsia="Times New Roman" w:cs="Arial"/>
                <w:color w:val="000000"/>
                <w:sz w:val="20"/>
              </w:rPr>
            </w:pPr>
            <w:r w:rsidRPr="00433FF7">
              <w:rPr>
                <w:rFonts w:eastAsia="Times New Roman" w:cs="Arial"/>
                <w:color w:val="000000"/>
                <w:sz w:val="20"/>
              </w:rPr>
              <w:t>N/A</w:t>
            </w:r>
          </w:p>
        </w:tc>
        <w:tc>
          <w:tcPr>
            <w:tcW w:w="1336" w:type="dxa"/>
            <w:shd w:val="clear" w:color="auto" w:fill="auto"/>
            <w:noWrap/>
            <w:vAlign w:val="center"/>
          </w:tcPr>
          <w:p w14:paraId="4FECDC79" w14:textId="237E18DA" w:rsidR="008965A5" w:rsidRDefault="008965A5" w:rsidP="000E45F4">
            <w:pPr>
              <w:spacing w:before="0" w:after="0" w:line="240" w:lineRule="auto"/>
              <w:rPr>
                <w:rFonts w:eastAsia="Times New Roman" w:cs="Arial"/>
                <w:color w:val="000000"/>
                <w:sz w:val="20"/>
              </w:rPr>
            </w:pPr>
            <w:r>
              <w:rPr>
                <w:rFonts w:eastAsia="Times New Roman" w:cs="Arial"/>
                <w:color w:val="000000"/>
                <w:sz w:val="20"/>
              </w:rPr>
              <w:t>OC</w:t>
            </w:r>
          </w:p>
        </w:tc>
      </w:tr>
    </w:tbl>
    <w:p w14:paraId="63A2F104" w14:textId="77777777" w:rsidR="00A317B9" w:rsidRDefault="00A317B9" w:rsidP="002D3EF7">
      <w:pPr>
        <w:spacing w:after="0" w:line="240" w:lineRule="auto"/>
        <w:ind w:left="720"/>
        <w:jc w:val="left"/>
        <w:rPr>
          <w:b/>
          <w:bCs/>
          <w:sz w:val="18"/>
          <w:szCs w:val="18"/>
        </w:rPr>
        <w:sectPr w:rsidR="00A317B9" w:rsidSect="008B0EAD">
          <w:pgSz w:w="12240" w:h="15840"/>
          <w:pgMar w:top="1440" w:right="1440" w:bottom="1440" w:left="1440" w:header="720" w:footer="720" w:gutter="0"/>
          <w:cols w:space="720"/>
          <w:docGrid w:linePitch="360"/>
        </w:sectPr>
      </w:pPr>
    </w:p>
    <w:tbl>
      <w:tblPr>
        <w:tblW w:w="9340" w:type="dxa"/>
        <w:tblLook w:val="04A0" w:firstRow="1" w:lastRow="0" w:firstColumn="1" w:lastColumn="0" w:noHBand="0" w:noVBand="1"/>
      </w:tblPr>
      <w:tblGrid>
        <w:gridCol w:w="2690"/>
        <w:gridCol w:w="3325"/>
        <w:gridCol w:w="3325"/>
      </w:tblGrid>
      <w:tr w:rsidR="008965A5" w:rsidRPr="00254F7E" w14:paraId="223AE278" w14:textId="77777777" w:rsidTr="001652A8">
        <w:trPr>
          <w:cantSplit/>
          <w:trHeight w:val="880"/>
        </w:trPr>
        <w:tc>
          <w:tcPr>
            <w:tcW w:w="2690" w:type="dxa"/>
            <w:shd w:val="clear" w:color="auto" w:fill="auto"/>
            <w:noWrap/>
            <w:vAlign w:val="center"/>
          </w:tcPr>
          <w:p w14:paraId="6C256319" w14:textId="77777777" w:rsidR="008965A5" w:rsidRPr="00E818FD" w:rsidRDefault="008965A5" w:rsidP="002D3EF7">
            <w:pPr>
              <w:spacing w:after="0" w:line="240" w:lineRule="auto"/>
              <w:jc w:val="left"/>
              <w:rPr>
                <w:b/>
                <w:bCs/>
                <w:sz w:val="18"/>
                <w:szCs w:val="18"/>
              </w:rPr>
            </w:pPr>
            <w:r w:rsidRPr="00E818FD">
              <w:rPr>
                <w:b/>
                <w:bCs/>
                <w:sz w:val="18"/>
                <w:szCs w:val="18"/>
              </w:rPr>
              <w:t>Control Equipment Key:</w:t>
            </w:r>
          </w:p>
          <w:p w14:paraId="7157A68C" w14:textId="77777777" w:rsidR="008965A5" w:rsidRPr="00E818FD" w:rsidRDefault="008965A5" w:rsidP="002D3EF7">
            <w:pPr>
              <w:spacing w:after="0" w:line="240" w:lineRule="auto"/>
              <w:jc w:val="left"/>
              <w:rPr>
                <w:sz w:val="18"/>
                <w:szCs w:val="18"/>
              </w:rPr>
            </w:pPr>
            <w:r w:rsidRPr="00E818FD">
              <w:rPr>
                <w:sz w:val="18"/>
                <w:szCs w:val="18"/>
              </w:rPr>
              <w:t>BH = Baghouse</w:t>
            </w:r>
          </w:p>
          <w:p w14:paraId="4A9D3B6D" w14:textId="010B4B15" w:rsidR="008965A5" w:rsidRPr="00E818FD" w:rsidRDefault="008965A5" w:rsidP="002D3EF7">
            <w:pPr>
              <w:spacing w:after="0" w:line="240" w:lineRule="auto"/>
              <w:jc w:val="left"/>
              <w:rPr>
                <w:sz w:val="18"/>
                <w:szCs w:val="18"/>
              </w:rPr>
            </w:pPr>
            <w:r w:rsidRPr="00E818FD">
              <w:rPr>
                <w:sz w:val="18"/>
                <w:szCs w:val="18"/>
              </w:rPr>
              <w:t>ACI = Activated Carbon Injection</w:t>
            </w:r>
          </w:p>
          <w:p w14:paraId="7D5611CE" w14:textId="71A77427" w:rsidR="008965A5" w:rsidRPr="00E818FD" w:rsidRDefault="008965A5" w:rsidP="002D3EF7">
            <w:pPr>
              <w:spacing w:after="0" w:line="240" w:lineRule="auto"/>
              <w:jc w:val="left"/>
              <w:rPr>
                <w:sz w:val="18"/>
                <w:szCs w:val="18"/>
              </w:rPr>
            </w:pPr>
            <w:r w:rsidRPr="00E818FD">
              <w:rPr>
                <w:sz w:val="18"/>
                <w:szCs w:val="18"/>
              </w:rPr>
              <w:t>ALK = Alkali Sorbent Injection</w:t>
            </w:r>
          </w:p>
        </w:tc>
        <w:tc>
          <w:tcPr>
            <w:tcW w:w="3325" w:type="dxa"/>
            <w:vAlign w:val="center"/>
          </w:tcPr>
          <w:p w14:paraId="4E67C0DA" w14:textId="77777777" w:rsidR="001652A8" w:rsidRPr="00E818FD" w:rsidRDefault="001652A8" w:rsidP="002D3EF7">
            <w:pPr>
              <w:spacing w:after="0" w:line="240" w:lineRule="auto"/>
              <w:ind w:left="720"/>
              <w:jc w:val="left"/>
              <w:rPr>
                <w:sz w:val="18"/>
                <w:szCs w:val="18"/>
              </w:rPr>
            </w:pPr>
          </w:p>
          <w:p w14:paraId="1B1863CC" w14:textId="77777777" w:rsidR="001652A8" w:rsidRDefault="001652A8" w:rsidP="002D3EF7">
            <w:pPr>
              <w:spacing w:after="0" w:line="240" w:lineRule="auto"/>
              <w:jc w:val="left"/>
              <w:rPr>
                <w:sz w:val="18"/>
                <w:szCs w:val="18"/>
              </w:rPr>
            </w:pPr>
            <w:r w:rsidRPr="00E818FD">
              <w:rPr>
                <w:sz w:val="18"/>
                <w:szCs w:val="18"/>
              </w:rPr>
              <w:t xml:space="preserve">ESP = Electrostatic Precipitator </w:t>
            </w:r>
          </w:p>
          <w:p w14:paraId="39B54E33" w14:textId="76CC6A56" w:rsidR="001652A8" w:rsidRDefault="001652A8" w:rsidP="002D3EF7">
            <w:pPr>
              <w:spacing w:after="0" w:line="240" w:lineRule="auto"/>
              <w:jc w:val="left"/>
              <w:rPr>
                <w:sz w:val="18"/>
                <w:szCs w:val="18"/>
              </w:rPr>
            </w:pPr>
            <w:r w:rsidRPr="00E818FD">
              <w:rPr>
                <w:sz w:val="18"/>
                <w:szCs w:val="18"/>
              </w:rPr>
              <w:t>LNCS = Low N</w:t>
            </w:r>
            <w:r>
              <w:rPr>
                <w:sz w:val="18"/>
                <w:szCs w:val="18"/>
              </w:rPr>
              <w:t>O</w:t>
            </w:r>
            <w:r w:rsidRPr="00E818FD">
              <w:rPr>
                <w:sz w:val="18"/>
                <w:szCs w:val="18"/>
              </w:rPr>
              <w:t>x Combustion System</w:t>
            </w:r>
          </w:p>
          <w:p w14:paraId="03915048" w14:textId="11B95B02" w:rsidR="001652A8" w:rsidRPr="00E818FD" w:rsidRDefault="001652A8" w:rsidP="002D3EF7">
            <w:pPr>
              <w:spacing w:after="0" w:line="240" w:lineRule="auto"/>
              <w:jc w:val="left"/>
              <w:rPr>
                <w:sz w:val="18"/>
                <w:szCs w:val="18"/>
              </w:rPr>
            </w:pPr>
            <w:r>
              <w:rPr>
                <w:sz w:val="18"/>
                <w:szCs w:val="18"/>
              </w:rPr>
              <w:t xml:space="preserve">MRCS = Mercury Re-emission Control </w:t>
            </w:r>
          </w:p>
        </w:tc>
        <w:tc>
          <w:tcPr>
            <w:tcW w:w="3325" w:type="dxa"/>
            <w:vAlign w:val="center"/>
          </w:tcPr>
          <w:p w14:paraId="20B9B691" w14:textId="0D11EBD7" w:rsidR="001652A8" w:rsidRPr="00E818FD" w:rsidRDefault="001652A8" w:rsidP="002D3EF7">
            <w:pPr>
              <w:spacing w:after="0" w:line="240" w:lineRule="auto"/>
              <w:jc w:val="left"/>
              <w:rPr>
                <w:sz w:val="18"/>
                <w:szCs w:val="18"/>
              </w:rPr>
            </w:pPr>
            <w:r>
              <w:rPr>
                <w:sz w:val="18"/>
                <w:szCs w:val="18"/>
              </w:rPr>
              <w:t>OC = Oxidation Catalyst</w:t>
            </w:r>
          </w:p>
          <w:p w14:paraId="1206997C" w14:textId="1497079A" w:rsidR="008965A5" w:rsidRPr="00E818FD" w:rsidRDefault="008965A5" w:rsidP="002D3EF7">
            <w:pPr>
              <w:spacing w:after="0" w:line="240" w:lineRule="auto"/>
              <w:jc w:val="left"/>
              <w:rPr>
                <w:sz w:val="18"/>
                <w:szCs w:val="18"/>
              </w:rPr>
            </w:pPr>
            <w:r w:rsidRPr="00E818FD">
              <w:rPr>
                <w:sz w:val="18"/>
                <w:szCs w:val="18"/>
              </w:rPr>
              <w:t>SCR = Selective Catalytic Reduction</w:t>
            </w:r>
          </w:p>
        </w:tc>
      </w:tr>
    </w:tbl>
    <w:p w14:paraId="49FF6908" w14:textId="77777777" w:rsidR="007A6FD2" w:rsidRDefault="007A6FD2" w:rsidP="002D3EF7">
      <w:pPr>
        <w:spacing w:after="0" w:line="240" w:lineRule="auto"/>
        <w:sectPr w:rsidR="007A6FD2" w:rsidSect="00E57D27">
          <w:type w:val="continuous"/>
          <w:pgSz w:w="12240" w:h="15840"/>
          <w:pgMar w:top="1440" w:right="1440" w:bottom="1440" w:left="1440" w:header="720" w:footer="720" w:gutter="0"/>
          <w:cols w:num="3" w:space="720"/>
          <w:docGrid w:linePitch="360"/>
        </w:sectPr>
      </w:pPr>
    </w:p>
    <w:p w14:paraId="06AF5C18" w14:textId="77777777" w:rsidR="0002482F" w:rsidRPr="00E34AFE" w:rsidRDefault="0002482F" w:rsidP="006E40B4">
      <w:pPr>
        <w:pStyle w:val="Heading3"/>
      </w:pPr>
      <w:bookmarkStart w:id="52" w:name="_Toc130201007"/>
      <w:bookmarkStart w:id="53" w:name="_Toc188252323"/>
      <w:r w:rsidRPr="00E34AFE">
        <w:lastRenderedPageBreak/>
        <w:t>2.3.1 National Ambient Air Quality Standards and Georgia Regulations</w:t>
      </w:r>
      <w:bookmarkEnd w:id="52"/>
      <w:bookmarkEnd w:id="53"/>
    </w:p>
    <w:p w14:paraId="7466EA4C" w14:textId="3091036D" w:rsidR="00CA448C" w:rsidRDefault="00CA448C" w:rsidP="002D3C1E">
      <w:r w:rsidRPr="281C9847">
        <w:t xml:space="preserve">The CAA of 1970 centralized the authority to set National Ambient Air Quality Standards (“NAAQS”) and requires EPA to review the primary and secondary NAAQS every five years and revise them as necessary. </w:t>
      </w:r>
      <w:r w:rsidR="59F3EFAF" w:rsidRPr="743EDEA7">
        <w:t xml:space="preserve">Primary standards are designed to protect the health of </w:t>
      </w:r>
      <w:r w:rsidR="00DC4D8C">
        <w:t>‘</w:t>
      </w:r>
      <w:r w:rsidR="00DC4D8C" w:rsidRPr="743EDEA7">
        <w:t>sensitive</w:t>
      </w:r>
      <w:r w:rsidR="00DC4D8C">
        <w:t>’</w:t>
      </w:r>
      <w:r w:rsidR="00DC4D8C" w:rsidRPr="743EDEA7">
        <w:t xml:space="preserve"> </w:t>
      </w:r>
      <w:r w:rsidR="59F3EFAF" w:rsidRPr="743EDEA7">
        <w:t xml:space="preserve">populations such as asthmatics, children, and the </w:t>
      </w:r>
      <w:r w:rsidR="59F3EFAF" w:rsidRPr="01E55200">
        <w:t xml:space="preserve">elderly, </w:t>
      </w:r>
      <w:r w:rsidR="59F3EFAF" w:rsidRPr="3075E024">
        <w:t>while secondary</w:t>
      </w:r>
      <w:r w:rsidR="59F3EFAF" w:rsidRPr="743EDEA7">
        <w:t xml:space="preserve"> standards are concerned with protecting the environment, including protection against decreased visibility and damage to animals, crops, vegetation, and buildings</w:t>
      </w:r>
      <w:r w:rsidR="59F3EFAF" w:rsidRPr="3075E024">
        <w:t>.</w:t>
      </w:r>
      <w:r w:rsidRPr="281C9847">
        <w:t xml:space="preserve"> These reviews have resulted in multiple, significant changes to the ozone and </w:t>
      </w:r>
      <w:r w:rsidR="00F83204" w:rsidRPr="281C9847">
        <w:t xml:space="preserve">PM </w:t>
      </w:r>
      <w:r w:rsidRPr="281C9847">
        <w:t>NAAQS, the addition of short-term primary SO</w:t>
      </w:r>
      <w:r w:rsidRPr="281C9847">
        <w:rPr>
          <w:vertAlign w:val="subscript"/>
        </w:rPr>
        <w:t>2</w:t>
      </w:r>
      <w:r w:rsidR="00953B25">
        <w:t xml:space="preserve"> </w:t>
      </w:r>
      <w:r w:rsidRPr="281C9847">
        <w:t>and NO</w:t>
      </w:r>
      <w:r w:rsidRPr="281C9847">
        <w:rPr>
          <w:vertAlign w:val="subscript"/>
        </w:rPr>
        <w:t>2</w:t>
      </w:r>
      <w:r w:rsidRPr="281C9847">
        <w:t xml:space="preserve"> NAAQS, and other air quality standards updates.</w:t>
      </w:r>
      <w:r w:rsidR="007C14B7">
        <w:t xml:space="preserve"> </w:t>
      </w:r>
      <w:r w:rsidRPr="281C9847">
        <w:t>Implementing these standards is generally a state responsibility; however, EPA has also issued rules, such as the NO</w:t>
      </w:r>
      <w:r w:rsidRPr="281C9847">
        <w:rPr>
          <w:vertAlign w:val="subscript"/>
        </w:rPr>
        <w:t>x</w:t>
      </w:r>
      <w:r w:rsidRPr="281C9847">
        <w:t xml:space="preserve"> Budget Trading Program, the Clean Air Interstate Rule (</w:t>
      </w:r>
      <w:r w:rsidR="002D30D1" w:rsidRPr="281C9847">
        <w:t>“</w:t>
      </w:r>
      <w:r w:rsidRPr="281C9847">
        <w:t>CAIR</w:t>
      </w:r>
      <w:r w:rsidR="002D30D1" w:rsidRPr="281C9847">
        <w:t>”</w:t>
      </w:r>
      <w:r w:rsidRPr="281C9847">
        <w:t>), and the Cross State Air Pollution Rule (</w:t>
      </w:r>
      <w:r w:rsidR="002D30D1" w:rsidRPr="281C9847">
        <w:t>“</w:t>
      </w:r>
      <w:r w:rsidRPr="281C9847">
        <w:t>CSAPR</w:t>
      </w:r>
      <w:r w:rsidR="002D30D1" w:rsidRPr="281C9847">
        <w:t>”</w:t>
      </w:r>
      <w:r w:rsidRPr="281C9847">
        <w:t>)</w:t>
      </w:r>
      <w:r w:rsidR="005C0A86" w:rsidRPr="281C9847">
        <w:t xml:space="preserve"> programs</w:t>
      </w:r>
      <w:r w:rsidRPr="281C9847">
        <w:t xml:space="preserve">, that deal with the transport of pollutants on a regional or multi-state </w:t>
      </w:r>
      <w:r w:rsidR="003F7178" w:rsidRPr="281C9847">
        <w:t xml:space="preserve">scale </w:t>
      </w:r>
      <w:r w:rsidRPr="281C9847">
        <w:t xml:space="preserve">to facilitate attainment with the NAAQS.  </w:t>
      </w:r>
    </w:p>
    <w:p w14:paraId="2B376091" w14:textId="77777777" w:rsidR="00CA448C" w:rsidRPr="0081189F" w:rsidRDefault="00CA448C" w:rsidP="0081189F">
      <w:pPr>
        <w:pStyle w:val="Smallheading3notoc"/>
        <w:rPr>
          <w:color w:val="2F5496" w:themeColor="accent1" w:themeShade="BF"/>
        </w:rPr>
      </w:pPr>
      <w:r w:rsidRPr="0081189F">
        <w:rPr>
          <w:color w:val="2F5496" w:themeColor="accent1" w:themeShade="BF"/>
        </w:rPr>
        <w:t>Ozone (40 CFR 50.10)</w:t>
      </w:r>
    </w:p>
    <w:p w14:paraId="0680775E" w14:textId="5DDEF078" w:rsidR="00CA448C" w:rsidRDefault="00CA448C" w:rsidP="002D3C1E">
      <w:r w:rsidRPr="57F1A317">
        <w:t>In 1979, EPA put into place an air quality standard</w:t>
      </w:r>
      <w:r>
        <w:t xml:space="preserve"> </w:t>
      </w:r>
      <w:r w:rsidRPr="57F1A317">
        <w:t>on 1-hour ozone concentrations of 120 parts per billion</w:t>
      </w:r>
      <w:r w:rsidR="002D30D1">
        <w:t xml:space="preserve"> (“ppb”)</w:t>
      </w:r>
      <w:r w:rsidRPr="57F1A317">
        <w:t>.</w:t>
      </w:r>
      <w:r w:rsidR="007C14B7">
        <w:t xml:space="preserve"> </w:t>
      </w:r>
      <w:r w:rsidRPr="57F1A317">
        <w:t xml:space="preserve">Subsequently, </w:t>
      </w:r>
      <w:r w:rsidR="00E95B46">
        <w:t>EPA</w:t>
      </w:r>
      <w:r w:rsidRPr="57F1A317">
        <w:t xml:space="preserve"> replaced the 1-hour standard with an 8-hour standard of 80 ppb in 1997, which was lowered to 75 ppb in 2008</w:t>
      </w:r>
      <w:r>
        <w:t xml:space="preserve"> and again to 70 ppb in 2015</w:t>
      </w:r>
      <w:r w:rsidRPr="57F1A317">
        <w:t xml:space="preserve">. </w:t>
      </w:r>
      <w:r>
        <w:t>I</w:t>
      </w:r>
      <w:r w:rsidRPr="172F7B2B">
        <w:t>n December 2020, EPA issued a final rule to retain the current standards for ozone</w:t>
      </w:r>
      <w:r>
        <w:t>, both primary and secondary,</w:t>
      </w:r>
      <w:r w:rsidRPr="172F7B2B">
        <w:t xml:space="preserve"> without revision based on EPA’s review of the air quality criteria and the NAAQS. </w:t>
      </w:r>
    </w:p>
    <w:p w14:paraId="096FF8B7" w14:textId="09391D70" w:rsidR="00CA448C" w:rsidRDefault="00CA448C" w:rsidP="002D3C1E">
      <w:r w:rsidRPr="57F1A317">
        <w:t xml:space="preserve">For each </w:t>
      </w:r>
      <w:r>
        <w:t xml:space="preserve">historical </w:t>
      </w:r>
      <w:r w:rsidRPr="57F1A317">
        <w:t>ozone standard, portions of the Atlanta metropolitan area were designated as nonattainment during implementation</w:t>
      </w:r>
      <w:r>
        <w:t xml:space="preserve"> before meeting the standard, as measured by air quality monitors, over </w:t>
      </w:r>
      <w:proofErr w:type="gramStart"/>
      <w:r>
        <w:t>a period of time</w:t>
      </w:r>
      <w:proofErr w:type="gramEnd"/>
      <w:r w:rsidRPr="57F1A317">
        <w:t xml:space="preserve">. </w:t>
      </w:r>
      <w:r>
        <w:t xml:space="preserve">Georgia’s implementation of past ozone standards </w:t>
      </w:r>
      <w:r w:rsidR="00A57F49">
        <w:t xml:space="preserve">included the establishment of </w:t>
      </w:r>
      <w:r w:rsidR="006C5278">
        <w:t xml:space="preserve">more stringent </w:t>
      </w:r>
      <w:r w:rsidR="00617FD4">
        <w:t xml:space="preserve">emissions limits and requirements </w:t>
      </w:r>
      <w:r>
        <w:t xml:space="preserve">for </w:t>
      </w:r>
      <w:r w:rsidR="00617FD4">
        <w:t xml:space="preserve">various types of sources in </w:t>
      </w:r>
      <w:r w:rsidR="0095008E">
        <w:t xml:space="preserve">specific counties in and around </w:t>
      </w:r>
      <w:r w:rsidR="7C70B58F" w:rsidRPr="7F3FCD6C">
        <w:t xml:space="preserve">the </w:t>
      </w:r>
      <w:r w:rsidR="00617FD4">
        <w:t>Atlanta area</w:t>
      </w:r>
      <w:r w:rsidR="00601EF0">
        <w:t xml:space="preserve">. For </w:t>
      </w:r>
      <w:r>
        <w:t>electric generating units</w:t>
      </w:r>
      <w:r w:rsidR="006C5278">
        <w:t xml:space="preserve">, </w:t>
      </w:r>
      <w:r w:rsidR="001247B9">
        <w:t xml:space="preserve">affected sources include </w:t>
      </w:r>
      <w:r w:rsidR="00617FD4">
        <w:t xml:space="preserve">stationary engines, </w:t>
      </w:r>
      <w:r w:rsidR="00224AE0">
        <w:t xml:space="preserve">combustion turbines, and </w:t>
      </w:r>
      <w:r w:rsidR="00C73AC8">
        <w:t>utility</w:t>
      </w:r>
      <w:r w:rsidR="00224AE0">
        <w:t xml:space="preserve"> </w:t>
      </w:r>
      <w:r w:rsidR="00CA0D69">
        <w:t>boilers</w:t>
      </w:r>
      <w:r w:rsidR="00224AE0">
        <w:t xml:space="preserve">. </w:t>
      </w:r>
      <w:r w:rsidR="00AA154A">
        <w:t>F</w:t>
      </w:r>
      <w:r>
        <w:t xml:space="preserve">or </w:t>
      </w:r>
      <w:r w:rsidR="008B75AD">
        <w:t>example</w:t>
      </w:r>
      <w:r w:rsidR="00AA154A">
        <w:t>,</w:t>
      </w:r>
      <w:r>
        <w:t xml:space="preserve"> Georgia Rule 391-3-1-.02(2)(</w:t>
      </w:r>
      <w:proofErr w:type="spellStart"/>
      <w:r>
        <w:t>jjj</w:t>
      </w:r>
      <w:proofErr w:type="spellEnd"/>
      <w:r>
        <w:t>) (“Rule (</w:t>
      </w:r>
      <w:proofErr w:type="spellStart"/>
      <w:r>
        <w:t>jjj</w:t>
      </w:r>
      <w:proofErr w:type="spellEnd"/>
      <w:r>
        <w:t xml:space="preserve">)”), </w:t>
      </w:r>
      <w:r w:rsidR="0030756B" w:rsidRPr="002371F0">
        <w:t>NO</w:t>
      </w:r>
      <w:r w:rsidR="0030756B">
        <w:t>x</w:t>
      </w:r>
      <w:r w:rsidR="0030756B" w:rsidRPr="002371F0">
        <w:t xml:space="preserve"> </w:t>
      </w:r>
      <w:r w:rsidRPr="002371F0">
        <w:t>Emissions from Electric Utility Steam Generating Units</w:t>
      </w:r>
      <w:r w:rsidR="00A55693">
        <w:t xml:space="preserve"> </w:t>
      </w:r>
      <w:r>
        <w:t xml:space="preserve">required the installation of low NOx combustion technology at </w:t>
      </w:r>
      <w:r w:rsidR="00163170">
        <w:t xml:space="preserve">various </w:t>
      </w:r>
      <w:r>
        <w:t xml:space="preserve">coal-fired units and </w:t>
      </w:r>
      <w:r w:rsidR="005361EA">
        <w:t>selective catalytic reduction (“</w:t>
      </w:r>
      <w:r>
        <w:t>SCR</w:t>
      </w:r>
      <w:r w:rsidR="005361EA">
        <w:t>”) system</w:t>
      </w:r>
      <w:r>
        <w:t>s at select coal-fired units at Plants Bowen, Hammond, and Wansley in the early 2000s.</w:t>
      </w:r>
    </w:p>
    <w:p w14:paraId="2B8162D8" w14:textId="3A3BE719" w:rsidR="00FF4766" w:rsidRDefault="00CA448C" w:rsidP="002D3C1E">
      <w:r>
        <w:t>For the current 2015 standard, a</w:t>
      </w:r>
      <w:r w:rsidRPr="172F7B2B">
        <w:t xml:space="preserve">ll areas in Alabama </w:t>
      </w:r>
      <w:r w:rsidRPr="00E12286">
        <w:t xml:space="preserve">and Georgia, except the Atlanta area, </w:t>
      </w:r>
      <w:r>
        <w:t>we</w:t>
      </w:r>
      <w:r w:rsidRPr="00E12286">
        <w:t xml:space="preserve">re designated as in attainment with the current standards. </w:t>
      </w:r>
      <w:r w:rsidR="006D7629">
        <w:t>The Atlanta area subsequently met the standards in 2020</w:t>
      </w:r>
      <w:r w:rsidR="00AB1644">
        <w:t>,</w:t>
      </w:r>
      <w:r w:rsidR="006D7629">
        <w:t xml:space="preserve"> and EPA finalized the official redesignation of Atlanta to attainment with the 2015 ozone standard in October 2022, bringing the entire state of Georgia into attainment with all air quality standards. </w:t>
      </w:r>
      <w:r w:rsidR="00FF4766">
        <w:t>As a result, o</w:t>
      </w:r>
      <w:r w:rsidR="00FF4766" w:rsidRPr="005A0FFF">
        <w:t xml:space="preserve">n May 23, 2023, Georgia EPD finalized revisions to the Georgia rules </w:t>
      </w:r>
      <w:r w:rsidR="00FF4766">
        <w:t>which</w:t>
      </w:r>
      <w:r w:rsidR="00FF4766" w:rsidRPr="005A0FFF">
        <w:t xml:space="preserve"> remove</w:t>
      </w:r>
      <w:r w:rsidR="00FF4766">
        <w:t xml:space="preserve">d non-attainment </w:t>
      </w:r>
      <w:r w:rsidR="00FF4766" w:rsidRPr="005A0FFF">
        <w:t xml:space="preserve">requirements for air permitting in </w:t>
      </w:r>
      <w:r w:rsidR="007F02B9">
        <w:t>all</w:t>
      </w:r>
      <w:r w:rsidR="00FF4766" w:rsidRPr="005A0FFF">
        <w:t xml:space="preserve"> former nonattainment area</w:t>
      </w:r>
      <w:r w:rsidR="007F02B9">
        <w:t>s</w:t>
      </w:r>
      <w:r w:rsidR="00FF4766" w:rsidRPr="005A0FFF">
        <w:t>.</w:t>
      </w:r>
    </w:p>
    <w:p w14:paraId="21AD5AA8" w14:textId="395BA27F" w:rsidR="005A0FFF" w:rsidRPr="005A0BEF" w:rsidRDefault="00CA448C" w:rsidP="002D3C1E">
      <w:r>
        <w:t xml:space="preserve">In the meantime, in response to </w:t>
      </w:r>
      <w:r w:rsidRPr="65507565">
        <w:t xml:space="preserve">President </w:t>
      </w:r>
      <w:r w:rsidRPr="1492DB28">
        <w:t>Biden’s</w:t>
      </w:r>
      <w:r w:rsidRPr="65507565">
        <w:t xml:space="preserve"> E</w:t>
      </w:r>
      <w:r w:rsidR="00953B25">
        <w:t xml:space="preserve">xecutive </w:t>
      </w:r>
      <w:r w:rsidRPr="65507565">
        <w:t>O</w:t>
      </w:r>
      <w:r w:rsidR="00953B25">
        <w:t>rder</w:t>
      </w:r>
      <w:r>
        <w:t xml:space="preserve"> 13990 in 2021 requiring the review of regulations finalized during the previous Administration</w:t>
      </w:r>
      <w:r w:rsidRPr="65507565">
        <w:t xml:space="preserve">, </w:t>
      </w:r>
      <w:r w:rsidRPr="5EFA5C3E">
        <w:t xml:space="preserve">EPA </w:t>
      </w:r>
      <w:r w:rsidR="00BC0FD4">
        <w:t xml:space="preserve">began </w:t>
      </w:r>
      <w:r>
        <w:t>the process of reconsidering the 2020 decision to retain the ozone standard</w:t>
      </w:r>
      <w:r w:rsidR="000050B5">
        <w:t xml:space="preserve">, but </w:t>
      </w:r>
      <w:r w:rsidR="005A0BEF">
        <w:t>in 2022</w:t>
      </w:r>
      <w:r w:rsidR="000A5A49">
        <w:t>,</w:t>
      </w:r>
      <w:r w:rsidR="005A0BEF">
        <w:t xml:space="preserve"> the </w:t>
      </w:r>
      <w:r w:rsidR="000050B5">
        <w:t>EPA staff and the C</w:t>
      </w:r>
      <w:r w:rsidR="000050B5" w:rsidRPr="00F53D92">
        <w:t>lean Air Scientific Advisory Committee (</w:t>
      </w:r>
      <w:r w:rsidR="000050B5">
        <w:t>“</w:t>
      </w:r>
      <w:r w:rsidR="000050B5" w:rsidRPr="00F53D92">
        <w:t>CASAC</w:t>
      </w:r>
      <w:r w:rsidR="000050B5">
        <w:t>”</w:t>
      </w:r>
      <w:r w:rsidR="000050B5" w:rsidRPr="00F53D92">
        <w:t xml:space="preserve">) Ozone Review Panel </w:t>
      </w:r>
      <w:r w:rsidR="000050B5">
        <w:t xml:space="preserve">released conflicting recommendations on the review of the ozone standard, with </w:t>
      </w:r>
      <w:r w:rsidR="000050B5" w:rsidRPr="00C425B0">
        <w:t>EPA staff recommend</w:t>
      </w:r>
      <w:r w:rsidR="000050B5">
        <w:t>ing</w:t>
      </w:r>
      <w:r w:rsidR="000050B5" w:rsidRPr="00C425B0">
        <w:t xml:space="preserve"> not reopening the 2020 ozone review</w:t>
      </w:r>
      <w:r w:rsidR="000050B5">
        <w:t xml:space="preserve">, </w:t>
      </w:r>
      <w:r w:rsidR="000050B5" w:rsidRPr="00716653">
        <w:lastRenderedPageBreak/>
        <w:t>while CASAC supported the reconsideration</w:t>
      </w:r>
      <w:r w:rsidRPr="00716653">
        <w:t>.</w:t>
      </w:r>
      <w:r w:rsidR="00B0799C" w:rsidRPr="00716653">
        <w:t xml:space="preserve"> </w:t>
      </w:r>
      <w:r w:rsidR="00D14ED3" w:rsidRPr="00716653">
        <w:t>F</w:t>
      </w:r>
      <w:r w:rsidR="005A0FFF" w:rsidRPr="00716653">
        <w:t xml:space="preserve">ollowing additional assessments from both EPA staff and CASAC, the EPA Administrator published a letter </w:t>
      </w:r>
      <w:r w:rsidR="0067595E" w:rsidRPr="00716653">
        <w:t>on August 18, 2023</w:t>
      </w:r>
      <w:r w:rsidR="04547F68" w:rsidRPr="00716653">
        <w:t>,</w:t>
      </w:r>
      <w:r w:rsidR="0067595E" w:rsidRPr="00716653">
        <w:t xml:space="preserve"> </w:t>
      </w:r>
      <w:r w:rsidR="005A0FFF" w:rsidRPr="00716653">
        <w:t>indicat</w:t>
      </w:r>
      <w:r w:rsidR="005538A6" w:rsidRPr="00716653">
        <w:t>ing</w:t>
      </w:r>
      <w:r w:rsidR="005A0FFF" w:rsidRPr="00716653">
        <w:t xml:space="preserve"> EPA would stop the reconsideration of the 2020 ozone NAAQS and will instead begin its next statutory review of the ozone NAAQS.</w:t>
      </w:r>
    </w:p>
    <w:p w14:paraId="3B51F332" w14:textId="77777777" w:rsidR="00CA448C" w:rsidRPr="0081189F" w:rsidRDefault="00CA448C" w:rsidP="0081189F">
      <w:pPr>
        <w:pStyle w:val="Smallheading3notoc"/>
        <w:rPr>
          <w:color w:val="2F5496" w:themeColor="accent1" w:themeShade="BF"/>
        </w:rPr>
      </w:pPr>
      <w:r w:rsidRPr="0081189F">
        <w:rPr>
          <w:color w:val="2F5496" w:themeColor="accent1" w:themeShade="BF"/>
        </w:rPr>
        <w:t>Particulate Matter (40 CFR 50.13)</w:t>
      </w:r>
    </w:p>
    <w:p w14:paraId="51EB9736" w14:textId="7269CA9C" w:rsidR="00CA448C" w:rsidRDefault="00CA448C" w:rsidP="004E60BF">
      <w:r>
        <w:t>While n</w:t>
      </w:r>
      <w:r w:rsidRPr="00C425B0">
        <w:t>ational air</w:t>
      </w:r>
      <w:r w:rsidR="00282F0F">
        <w:t xml:space="preserve"> </w:t>
      </w:r>
      <w:r w:rsidRPr="00C425B0">
        <w:t>quality standards for PM were first established in 1971</w:t>
      </w:r>
      <w:r>
        <w:t xml:space="preserve">, </w:t>
      </w:r>
      <w:r w:rsidRPr="16982F57">
        <w:t xml:space="preserve">EPA </w:t>
      </w:r>
      <w:r>
        <w:t xml:space="preserve">shifted its focus and </w:t>
      </w:r>
      <w:r w:rsidRPr="16982F57">
        <w:t xml:space="preserve">revised the PM NAAQS to add fine particulate matter, i.e., </w:t>
      </w:r>
      <w:r w:rsidR="003738FB">
        <w:t xml:space="preserve">particles </w:t>
      </w:r>
      <w:r w:rsidR="00EE4326">
        <w:t xml:space="preserve">with a diameter of </w:t>
      </w:r>
      <w:r w:rsidR="003738FB">
        <w:t xml:space="preserve">less than 2.5 microns </w:t>
      </w:r>
      <w:r w:rsidR="00EE4326">
        <w:t>(“</w:t>
      </w:r>
      <w:r w:rsidRPr="16982F57">
        <w:t>PM</w:t>
      </w:r>
      <w:r w:rsidRPr="16982F57">
        <w:rPr>
          <w:vertAlign w:val="subscript"/>
        </w:rPr>
        <w:t>2.5</w:t>
      </w:r>
      <w:r w:rsidR="00EE4326">
        <w:t>”)</w:t>
      </w:r>
      <w:r>
        <w:t>,</w:t>
      </w:r>
      <w:r w:rsidRPr="16982F57">
        <w:t xml:space="preserve"> </w:t>
      </w:r>
      <w:r>
        <w:t>in 1997, focusing on particles of a smaller size</w:t>
      </w:r>
      <w:r w:rsidRPr="16982F57">
        <w:t>. The first PM</w:t>
      </w:r>
      <w:r w:rsidRPr="16982F57">
        <w:rPr>
          <w:vertAlign w:val="subscript"/>
        </w:rPr>
        <w:t>2.5</w:t>
      </w:r>
      <w:r w:rsidRPr="16982F57">
        <w:t xml:space="preserve"> standards were set at a level of 15 micrograms per cubic meter (</w:t>
      </w:r>
      <w:r w:rsidR="008D337B">
        <w:t>“</w:t>
      </w:r>
      <w:r w:rsidRPr="16982F57">
        <w:t>µg/m</w:t>
      </w:r>
      <w:r w:rsidRPr="16982F57">
        <w:rPr>
          <w:vertAlign w:val="superscript"/>
        </w:rPr>
        <w:t>3</w:t>
      </w:r>
      <w:r w:rsidR="008D337B">
        <w:t>”)</w:t>
      </w:r>
      <w:r w:rsidRPr="16982F57">
        <w:t xml:space="preserve"> on an annual average and 65 µg/m</w:t>
      </w:r>
      <w:r w:rsidRPr="16982F57">
        <w:rPr>
          <w:vertAlign w:val="superscript"/>
        </w:rPr>
        <w:t>3</w:t>
      </w:r>
      <w:r w:rsidRPr="16982F57">
        <w:t xml:space="preserve"> on a 24-hour average. In September 2006, EPA retained the annual standard but lowered the 24-hour standard from 65 µg/m</w:t>
      </w:r>
      <w:r w:rsidRPr="16982F57">
        <w:rPr>
          <w:vertAlign w:val="superscript"/>
        </w:rPr>
        <w:t>3</w:t>
      </w:r>
      <w:r w:rsidRPr="16982F57">
        <w:t xml:space="preserve"> to 35 µg/m</w:t>
      </w:r>
      <w:r w:rsidRPr="16982F57">
        <w:rPr>
          <w:vertAlign w:val="superscript"/>
        </w:rPr>
        <w:t>3</w:t>
      </w:r>
      <w:r w:rsidRPr="16982F57">
        <w:t xml:space="preserve">. </w:t>
      </w:r>
      <w:r w:rsidRPr="00DB7156">
        <w:t xml:space="preserve">In December 2012, EPA lowered the annual standard </w:t>
      </w:r>
      <w:r>
        <w:t>for PM</w:t>
      </w:r>
      <w:r w:rsidRPr="00690F00">
        <w:rPr>
          <w:vertAlign w:val="subscript"/>
        </w:rPr>
        <w:t>2.5</w:t>
      </w:r>
      <w:r>
        <w:t xml:space="preserve"> </w:t>
      </w:r>
      <w:r w:rsidRPr="00DB7156">
        <w:t>to 12 µg/m</w:t>
      </w:r>
      <w:r w:rsidRPr="00DB7156">
        <w:rPr>
          <w:vertAlign w:val="superscript"/>
        </w:rPr>
        <w:t>3</w:t>
      </w:r>
      <w:r w:rsidRPr="00DB7156">
        <w:t>.</w:t>
      </w:r>
      <w:r>
        <w:t xml:space="preserve"> In December 2020,</w:t>
      </w:r>
      <w:r w:rsidRPr="00A726D8">
        <w:t xml:space="preserve"> EPA published a </w:t>
      </w:r>
      <w:r>
        <w:t>final rule</w:t>
      </w:r>
      <w:r w:rsidRPr="00A726D8">
        <w:t xml:space="preserve"> to retain the particulate matter NAAQS</w:t>
      </w:r>
      <w:r>
        <w:t xml:space="preserve"> last updated in 2012</w:t>
      </w:r>
      <w:r w:rsidRPr="00A726D8">
        <w:t xml:space="preserve">, without revision. </w:t>
      </w:r>
      <w:r w:rsidR="00F83204" w:rsidRPr="00505306">
        <w:t>EPA</w:t>
      </w:r>
      <w:r w:rsidR="00F83204">
        <w:t xml:space="preserve"> later</w:t>
      </w:r>
      <w:r w:rsidR="00F83204" w:rsidRPr="00505306">
        <w:t xml:space="preserve"> announced that it </w:t>
      </w:r>
      <w:r w:rsidR="00F83204">
        <w:t xml:space="preserve">would </w:t>
      </w:r>
      <w:r w:rsidR="00F83204" w:rsidRPr="00505306">
        <w:t xml:space="preserve">reconsider the </w:t>
      </w:r>
      <w:r w:rsidR="00F83204">
        <w:t xml:space="preserve">December 2020 </w:t>
      </w:r>
      <w:r w:rsidR="00F83204" w:rsidRPr="00505306">
        <w:t>decision to retain the primary and secondary NAAQS for PM. </w:t>
      </w:r>
    </w:p>
    <w:p w14:paraId="7D3176FB" w14:textId="381B75FF" w:rsidR="00CA448C" w:rsidRDefault="00CA448C" w:rsidP="008105BD">
      <w:r>
        <w:t xml:space="preserve">While </w:t>
      </w:r>
      <w:r w:rsidR="009B1DE0">
        <w:t>the</w:t>
      </w:r>
      <w:r>
        <w:t xml:space="preserve"> </w:t>
      </w:r>
      <w:r w:rsidRPr="16982F57">
        <w:t xml:space="preserve">Atlanta, Floyd County, Macon, and Chattanooga areas were designated as nonattainment for the </w:t>
      </w:r>
      <w:r>
        <w:t xml:space="preserve">1997 </w:t>
      </w:r>
      <w:r w:rsidRPr="16982F57">
        <w:t>PM</w:t>
      </w:r>
      <w:r w:rsidRPr="16982F57">
        <w:rPr>
          <w:vertAlign w:val="subscript"/>
        </w:rPr>
        <w:t xml:space="preserve">2.5 </w:t>
      </w:r>
      <w:r w:rsidRPr="16982F57">
        <w:t>annual standard</w:t>
      </w:r>
      <w:r w:rsidR="00414A8F">
        <w:t>, a</w:t>
      </w:r>
      <w:r w:rsidRPr="00DB7156">
        <w:t xml:space="preserve">ll areas in Georgia have since been redesignated to attainment </w:t>
      </w:r>
      <w:r>
        <w:t>for</w:t>
      </w:r>
      <w:r w:rsidRPr="00DB7156">
        <w:t xml:space="preserve"> the </w:t>
      </w:r>
      <w:r w:rsidRPr="16982F57">
        <w:t>1997 PM</w:t>
      </w:r>
      <w:r w:rsidRPr="16982F57">
        <w:rPr>
          <w:vertAlign w:val="subscript"/>
        </w:rPr>
        <w:t>2.5</w:t>
      </w:r>
      <w:r w:rsidRPr="16982F57">
        <w:t xml:space="preserve"> annual standard</w:t>
      </w:r>
      <w:r>
        <w:t xml:space="preserve"> </w:t>
      </w:r>
      <w:proofErr w:type="gramStart"/>
      <w:r>
        <w:t>and also</w:t>
      </w:r>
      <w:proofErr w:type="gramEnd"/>
      <w:r>
        <w:t xml:space="preserve"> met </w:t>
      </w:r>
      <w:r w:rsidR="00F83204">
        <w:t xml:space="preserve">the 2006 and 2012 revised </w:t>
      </w:r>
      <w:r>
        <w:t>PM standard</w:t>
      </w:r>
      <w:r w:rsidR="00076F94">
        <w:t>s</w:t>
      </w:r>
      <w:r w:rsidRPr="00DB7156">
        <w:t xml:space="preserve">. </w:t>
      </w:r>
    </w:p>
    <w:p w14:paraId="37CB1F35" w14:textId="60B16919" w:rsidR="00CD3E3F" w:rsidRPr="00CD3E3F" w:rsidRDefault="00CD3E3F" w:rsidP="008105BD">
      <w:r w:rsidRPr="00CD3E3F">
        <w:t>On March 6, 2024, EPA published the final primary annual PM</w:t>
      </w:r>
      <w:r w:rsidRPr="00FF518D">
        <w:rPr>
          <w:vertAlign w:val="subscript"/>
        </w:rPr>
        <w:t>2.5</w:t>
      </w:r>
      <w:r w:rsidRPr="00CD3E3F">
        <w:t xml:space="preserve"> standard at 9.0 </w:t>
      </w:r>
      <w:proofErr w:type="spellStart"/>
      <w:r w:rsidRPr="00CD3E3F">
        <w:t>μg</w:t>
      </w:r>
      <w:proofErr w:type="spellEnd"/>
      <w:r w:rsidRPr="00CD3E3F">
        <w:t>/m</w:t>
      </w:r>
      <w:r w:rsidRPr="00E34AFE">
        <w:rPr>
          <w:vertAlign w:val="superscript"/>
        </w:rPr>
        <w:t>3</w:t>
      </w:r>
      <w:r w:rsidRPr="00CD3E3F">
        <w:t xml:space="preserve">, while retaining the existing levels of all other particulate standards. EPA is required to designate areas that are not meeting the standard as nonattainment areas within </w:t>
      </w:r>
      <w:r w:rsidR="00EC1D38">
        <w:t>two</w:t>
      </w:r>
      <w:r w:rsidRPr="00CD3E3F">
        <w:t xml:space="preserve"> years. EPA is also expected to issue additional rulemaking and guidance to states related to the implementation for requirements of the PM</w:t>
      </w:r>
      <w:r w:rsidRPr="00E34AFE">
        <w:rPr>
          <w:vertAlign w:val="subscript"/>
        </w:rPr>
        <w:t>2.5</w:t>
      </w:r>
      <w:r w:rsidRPr="00CD3E3F">
        <w:t xml:space="preserve"> standard over the next few years. </w:t>
      </w:r>
      <w:r w:rsidRPr="00CD3E3F" w:rsidDel="00B04E2D">
        <w:t xml:space="preserve">Immediately after the rule was published on March 6, 2024, a 24-state coalition </w:t>
      </w:r>
      <w:r w:rsidRPr="00CD3E3F">
        <w:t>(including Georgia)</w:t>
      </w:r>
      <w:r w:rsidR="00282195">
        <w:t>,</w:t>
      </w:r>
      <w:r w:rsidRPr="00CD3E3F">
        <w:t xml:space="preserve"> </w:t>
      </w:r>
      <w:r w:rsidRPr="00CD3E3F" w:rsidDel="00B04E2D">
        <w:t>as well as other petitioners</w:t>
      </w:r>
      <w:r w:rsidR="00282195">
        <w:t>,</w:t>
      </w:r>
      <w:r w:rsidRPr="00CD3E3F" w:rsidDel="00B04E2D">
        <w:t xml:space="preserve"> filed petitions for review of EPA’s final PM NAAQS revision rule </w:t>
      </w:r>
      <w:r w:rsidRPr="00CD3E3F">
        <w:t>in</w:t>
      </w:r>
      <w:r w:rsidRPr="00CD3E3F" w:rsidDel="00B04E2D">
        <w:t xml:space="preserve"> the </w:t>
      </w:r>
      <w:r w:rsidRPr="00CD3E3F">
        <w:t>U.S. Court of Appeals for</w:t>
      </w:r>
      <w:r w:rsidRPr="00CD3E3F" w:rsidDel="00B04E2D">
        <w:t xml:space="preserve"> the D.C. Circuit</w:t>
      </w:r>
      <w:r w:rsidR="00B95FF3">
        <w:t>.</w:t>
      </w:r>
      <w:r w:rsidRPr="00CD3E3F">
        <w:t xml:space="preserve"> Merits briefing is completed</w:t>
      </w:r>
      <w:r w:rsidR="00282195">
        <w:t>,</w:t>
      </w:r>
      <w:r w:rsidRPr="00CD3E3F">
        <w:t xml:space="preserve"> </w:t>
      </w:r>
      <w:r w:rsidR="00EC1D38">
        <w:t>with</w:t>
      </w:r>
      <w:r w:rsidR="00EC1D38" w:rsidRPr="00CD3E3F">
        <w:t xml:space="preserve"> </w:t>
      </w:r>
      <w:r w:rsidRPr="00CD3E3F">
        <w:t>oral argument</w:t>
      </w:r>
      <w:r w:rsidR="00C9356E">
        <w:t>s held on</w:t>
      </w:r>
      <w:r w:rsidRPr="00CD3E3F">
        <w:t xml:space="preserve"> December 16, 2024. A decision is expected in 2025. </w:t>
      </w:r>
    </w:p>
    <w:p w14:paraId="4505F573" w14:textId="44B8DE59" w:rsidR="00CA448C" w:rsidRPr="002A5B6A" w:rsidRDefault="00CA448C" w:rsidP="006E40B4">
      <w:pPr>
        <w:pStyle w:val="Smallheading3notoc"/>
        <w:rPr>
          <w:color w:val="2F5496" w:themeColor="accent1" w:themeShade="BF"/>
        </w:rPr>
      </w:pPr>
      <w:r w:rsidRPr="002A5B6A">
        <w:rPr>
          <w:color w:val="2F5496" w:themeColor="accent1" w:themeShade="BF"/>
        </w:rPr>
        <w:t>S</w:t>
      </w:r>
      <w:r w:rsidR="00587208" w:rsidRPr="002A5B6A">
        <w:rPr>
          <w:color w:val="2F5496" w:themeColor="accent1" w:themeShade="BF"/>
        </w:rPr>
        <w:t>tartup, Shutdown, Malfunction</w:t>
      </w:r>
      <w:r w:rsidRPr="002A5B6A" w:rsidDel="0094265F">
        <w:rPr>
          <w:color w:val="2F5496" w:themeColor="accent1" w:themeShade="BF"/>
        </w:rPr>
        <w:t xml:space="preserve"> </w:t>
      </w:r>
      <w:r w:rsidRPr="002A5B6A">
        <w:rPr>
          <w:color w:val="2F5496" w:themeColor="accent1" w:themeShade="BF"/>
        </w:rPr>
        <w:t>(CAA Section 110(k)(5), 40 CFR 52, GA Rule 391-3-1-.02(2)(a)7. and 11.)</w:t>
      </w:r>
    </w:p>
    <w:p w14:paraId="10A6071C" w14:textId="5C7630CD" w:rsidR="00CA448C" w:rsidRDefault="00CA448C" w:rsidP="008105BD">
      <w:r>
        <w:t xml:space="preserve">In May 2015, </w:t>
      </w:r>
      <w:r w:rsidRPr="00101CF8">
        <w:t xml:space="preserve">EPA </w:t>
      </w:r>
      <w:r w:rsidRPr="2B377831">
        <w:t>issued</w:t>
      </w:r>
      <w:r w:rsidRPr="00101CF8">
        <w:t xml:space="preserve"> a final </w:t>
      </w:r>
      <w:r w:rsidRPr="2B377831">
        <w:t>“</w:t>
      </w:r>
      <w:r w:rsidRPr="00101CF8">
        <w:t>S</w:t>
      </w:r>
      <w:r w:rsidR="0051507C">
        <w:t xml:space="preserve">tate </w:t>
      </w:r>
      <w:r w:rsidRPr="00101CF8">
        <w:t>I</w:t>
      </w:r>
      <w:r w:rsidR="0051507C">
        <w:t xml:space="preserve">mplementation </w:t>
      </w:r>
      <w:r w:rsidRPr="00101CF8">
        <w:t>P</w:t>
      </w:r>
      <w:r w:rsidR="0051507C">
        <w:t>lan</w:t>
      </w:r>
      <w:r w:rsidRPr="00101CF8">
        <w:t xml:space="preserve"> </w:t>
      </w:r>
      <w:r w:rsidR="0051507C">
        <w:t>(“</w:t>
      </w:r>
      <w:r w:rsidRPr="00101CF8">
        <w:t>SIP</w:t>
      </w:r>
      <w:r w:rsidR="0051507C">
        <w:t>”)</w:t>
      </w:r>
      <w:r w:rsidRPr="00101CF8">
        <w:t xml:space="preserve"> </w:t>
      </w:r>
      <w:r>
        <w:t>C</w:t>
      </w:r>
      <w:r w:rsidRPr="2B377831">
        <w:t>all”</w:t>
      </w:r>
      <w:r w:rsidRPr="00101CF8">
        <w:t xml:space="preserve"> requiring </w:t>
      </w:r>
      <w:r>
        <w:t>36</w:t>
      </w:r>
      <w:r w:rsidRPr="00101CF8">
        <w:t xml:space="preserve"> states</w:t>
      </w:r>
      <w:r>
        <w:t>, including Georgia,</w:t>
      </w:r>
      <w:r w:rsidRPr="00101CF8">
        <w:t xml:space="preserve"> to remove exemptions for excess emissions that occur during periods of startup, shutdown, and malfunction</w:t>
      </w:r>
      <w:r>
        <w:t xml:space="preserve"> </w:t>
      </w:r>
      <w:r w:rsidR="00587208">
        <w:t xml:space="preserve">(“SSM”) </w:t>
      </w:r>
      <w:r>
        <w:t>in previously approved state rules</w:t>
      </w:r>
      <w:r w:rsidRPr="00101CF8">
        <w:t>.</w:t>
      </w:r>
      <w:r w:rsidR="007C14B7">
        <w:t xml:space="preserve"> </w:t>
      </w:r>
      <w:r w:rsidRPr="00DB7156">
        <w:t xml:space="preserve">The Sierra Club petitioned EPA to take this action, primarily based on the argument that such provisions allow emissions that could cause or contribute to violations of ambient air quality standards and that interfere with or preclude enforcement by agencies and citizens. </w:t>
      </w:r>
      <w:r>
        <w:t xml:space="preserve">Georgia Power and the State of Georgia are parties to ongoing litigation in the D.C. Circuit Court challenging the 2015 SSM Rule on the basis that the long-standing Georgia excess emissions rules have supported and not interfered with significant air quality improvements in the area. </w:t>
      </w:r>
      <w:r w:rsidR="001F4561">
        <w:t>The litigation was subsequently placed on hold pending additional EPA rulemaking.</w:t>
      </w:r>
    </w:p>
    <w:p w14:paraId="4C6B77D7" w14:textId="12F43658" w:rsidR="00CA448C" w:rsidRDefault="00CA448C" w:rsidP="008105BD">
      <w:r>
        <w:lastRenderedPageBreak/>
        <w:t>In</w:t>
      </w:r>
      <w:r w:rsidRPr="00DB7156">
        <w:t xml:space="preserve"> November 2016</w:t>
      </w:r>
      <w:r w:rsidR="54CF5A53" w:rsidRPr="1F9F7ECF">
        <w:t>,</w:t>
      </w:r>
      <w:r>
        <w:t xml:space="preserve"> to address the SIP Call</w:t>
      </w:r>
      <w:r w:rsidRPr="00DB7156">
        <w:t xml:space="preserve">, Georgia EPD submitted </w:t>
      </w:r>
      <w:r>
        <w:t>a</w:t>
      </w:r>
      <w:r w:rsidRPr="00DB7156">
        <w:t xml:space="preserve"> new state </w:t>
      </w:r>
      <w:r>
        <w:t xml:space="preserve">SSM </w:t>
      </w:r>
      <w:r w:rsidRPr="00DB7156">
        <w:t xml:space="preserve">rule </w:t>
      </w:r>
      <w:r>
        <w:t xml:space="preserve">(391-3-1-.02(2)(a)(11)) </w:t>
      </w:r>
      <w:r w:rsidRPr="00DB7156">
        <w:t xml:space="preserve">to EPA for approval as a revision to </w:t>
      </w:r>
      <w:r>
        <w:t xml:space="preserve">the </w:t>
      </w:r>
      <w:r w:rsidRPr="00DB7156" w:rsidDel="004D7C33">
        <w:t xml:space="preserve">Georgia </w:t>
      </w:r>
      <w:r w:rsidRPr="00DB7156">
        <w:t>SIP</w:t>
      </w:r>
      <w:r>
        <w:t>,</w:t>
      </w:r>
      <w:r w:rsidRPr="00DB7156">
        <w:t xml:space="preserve"> </w:t>
      </w:r>
      <w:r>
        <w:t xml:space="preserve">setting </w:t>
      </w:r>
      <w:r w:rsidRPr="00DB7156">
        <w:t xml:space="preserve">requirements for work practice standards for periods of startup, shutdown, and malfunction. </w:t>
      </w:r>
      <w:r w:rsidR="00294F2B">
        <w:t>In subsequent years</w:t>
      </w:r>
      <w:r w:rsidR="004333D1">
        <w:t>,</w:t>
      </w:r>
      <w:r w:rsidR="00642C18">
        <w:t xml:space="preserve"> EPA </w:t>
      </w:r>
      <w:r w:rsidR="00294F2B">
        <w:t xml:space="preserve">changed direction on SSM guidance and </w:t>
      </w:r>
      <w:r w:rsidR="008C4D6A">
        <w:t xml:space="preserve">on </w:t>
      </w:r>
      <w:r w:rsidR="00294F2B">
        <w:t xml:space="preserve">actions </w:t>
      </w:r>
      <w:r w:rsidR="008C4D6A">
        <w:t xml:space="preserve">taken </w:t>
      </w:r>
      <w:r w:rsidR="00294F2B">
        <w:t xml:space="preserve">for </w:t>
      </w:r>
      <w:r w:rsidR="00F20C70">
        <w:t>certain</w:t>
      </w:r>
      <w:r w:rsidR="00294F2B">
        <w:t xml:space="preserve"> states</w:t>
      </w:r>
      <w:r w:rsidR="008C4D6A">
        <w:t xml:space="preserve"> multiple times</w:t>
      </w:r>
      <w:r w:rsidR="005D4F2C">
        <w:t xml:space="preserve">, </w:t>
      </w:r>
      <w:r w:rsidR="008C4D6A">
        <w:t xml:space="preserve">and no action was taken </w:t>
      </w:r>
      <w:r w:rsidR="005D4F2C">
        <w:t>on Georgia’s SIP for many years.</w:t>
      </w:r>
    </w:p>
    <w:p w14:paraId="61460F14" w14:textId="3988D0E2" w:rsidR="00C73C1F" w:rsidRDefault="00CA448C" w:rsidP="008105BD">
      <w:r>
        <w:rPr>
          <w:rStyle w:val="normaltextrun"/>
          <w:shd w:val="clear" w:color="auto" w:fill="FFFFFF"/>
        </w:rPr>
        <w:t>In December 2021, the D.C. Circuit Court</w:t>
      </w:r>
      <w:r w:rsidRPr="005815C0">
        <w:t xml:space="preserve"> </w:t>
      </w:r>
      <w:r w:rsidRPr="005815C0">
        <w:rPr>
          <w:rStyle w:val="normaltextrun"/>
          <w:shd w:val="clear" w:color="auto" w:fill="FFFFFF"/>
        </w:rPr>
        <w:t xml:space="preserve">reactivated the SSM SIP Call litigation </w:t>
      </w:r>
      <w:r>
        <w:rPr>
          <w:rStyle w:val="normaltextrun"/>
          <w:shd w:val="clear" w:color="auto" w:fill="FFFFFF"/>
        </w:rPr>
        <w:t xml:space="preserve">at the request of EPA </w:t>
      </w:r>
      <w:r w:rsidRPr="005815C0">
        <w:rPr>
          <w:rStyle w:val="normaltextrun"/>
          <w:shd w:val="clear" w:color="auto" w:fill="FFFFFF"/>
        </w:rPr>
        <w:t xml:space="preserve">and </w:t>
      </w:r>
      <w:r w:rsidR="004D33F6">
        <w:rPr>
          <w:rStyle w:val="normaltextrun"/>
          <w:shd w:val="clear" w:color="auto" w:fill="FFFFFF"/>
        </w:rPr>
        <w:t xml:space="preserve">supplemental briefing and oral argument was completed in the spring of 2022. </w:t>
      </w:r>
      <w:r w:rsidR="007636D9">
        <w:rPr>
          <w:rStyle w:val="normaltextrun"/>
          <w:shd w:val="clear" w:color="auto" w:fill="FFFFFF"/>
        </w:rPr>
        <w:t>In November 2022</w:t>
      </w:r>
      <w:r w:rsidR="002A1B5F">
        <w:rPr>
          <w:rStyle w:val="normaltextrun"/>
          <w:shd w:val="clear" w:color="auto" w:fill="FFFFFF"/>
        </w:rPr>
        <w:t>, EPA propos</w:t>
      </w:r>
      <w:r w:rsidR="00F37A13">
        <w:rPr>
          <w:rStyle w:val="normaltextrun"/>
          <w:shd w:val="clear" w:color="auto" w:fill="FFFFFF"/>
        </w:rPr>
        <w:t>ed</w:t>
      </w:r>
      <w:r w:rsidR="002A1B5F">
        <w:rPr>
          <w:rStyle w:val="normaltextrun"/>
          <w:shd w:val="clear" w:color="auto" w:fill="FFFFFF"/>
        </w:rPr>
        <w:t xml:space="preserve"> to disapprove of the Georgia SSM SIP t</w:t>
      </w:r>
      <w:r w:rsidR="001F6EAB">
        <w:rPr>
          <w:rStyle w:val="normaltextrun"/>
          <w:shd w:val="clear" w:color="auto" w:fill="FFFFFF"/>
        </w:rPr>
        <w:t>h</w:t>
      </w:r>
      <w:r w:rsidR="002A1B5F">
        <w:rPr>
          <w:rStyle w:val="normaltextrun"/>
          <w:shd w:val="clear" w:color="auto" w:fill="FFFFFF"/>
        </w:rPr>
        <w:t xml:space="preserve">at was submitted in November 2016 </w:t>
      </w:r>
      <w:r w:rsidR="002A1B5F">
        <w:t xml:space="preserve">on the basis that the work practice standards in Georgia’s rule did not satisfy </w:t>
      </w:r>
      <w:r w:rsidR="00C41BEC">
        <w:t>CAA</w:t>
      </w:r>
      <w:r w:rsidR="002A1B5F">
        <w:t xml:space="preserve"> requirements</w:t>
      </w:r>
      <w:r w:rsidR="005100B2">
        <w:t>.</w:t>
      </w:r>
      <w:r w:rsidR="00C73C1F" w:rsidRPr="00C73C1F">
        <w:t xml:space="preserve"> </w:t>
      </w:r>
    </w:p>
    <w:p w14:paraId="1762AF68" w14:textId="1D782B1A" w:rsidR="00C73C1F" w:rsidRDefault="00C73C1F" w:rsidP="008105BD">
      <w:r>
        <w:t xml:space="preserve">On January 10, 2023, Georgia EPD notified EPA that although </w:t>
      </w:r>
      <w:r w:rsidR="004E705E">
        <w:t xml:space="preserve">in </w:t>
      </w:r>
      <w:r>
        <w:t>disagree</w:t>
      </w:r>
      <w:r w:rsidR="004E2B94">
        <w:t>ment</w:t>
      </w:r>
      <w:r>
        <w:t xml:space="preserve"> with EPA’s proposed disapproval, it was withdrawing the November 2016 SSM SIP and stated intentions to revise the state rule and resubmit.</w:t>
      </w:r>
      <w:r w:rsidR="007C14B7">
        <w:t xml:space="preserve"> </w:t>
      </w:r>
    </w:p>
    <w:p w14:paraId="21B8324F" w14:textId="4FA4EB78" w:rsidR="00CA448C" w:rsidRDefault="00C73C1F" w:rsidP="008105BD">
      <w:r>
        <w:t>On August 22, 2023, the Georgia D</w:t>
      </w:r>
      <w:r w:rsidR="007776CF">
        <w:t>NR</w:t>
      </w:r>
      <w:r>
        <w:t xml:space="preserve"> approved of another new state SSM rule to replace the submission that EPA had proposed to disapprove. However, the new Georgia SSM Rule does not go into effect until subsequent review and approval of the </w:t>
      </w:r>
      <w:r w:rsidR="00F217B7">
        <w:t>SIP</w:t>
      </w:r>
      <w:r>
        <w:t xml:space="preserve"> by EPA. During this review process, the longstanding SSM requirements remain in effect. The new SSM rule would require facilities to comply with certain SIP emission limitations during startup and shutdown or request an alternative emission limitation that satisfies various criteria outlined in the rule.  </w:t>
      </w:r>
    </w:p>
    <w:p w14:paraId="6C0FC084" w14:textId="77777777" w:rsidR="00944459" w:rsidRPr="0081189F" w:rsidRDefault="00944459" w:rsidP="0081189F">
      <w:pPr>
        <w:pStyle w:val="Smallheading3notoc"/>
        <w:rPr>
          <w:i/>
        </w:rPr>
      </w:pPr>
      <w:r w:rsidRPr="0081189F">
        <w:rPr>
          <w:i/>
        </w:rPr>
        <w:t>New Regulatory Updates</w:t>
      </w:r>
    </w:p>
    <w:p w14:paraId="2D9739FE" w14:textId="0FA690A8" w:rsidR="00C73C1F" w:rsidRPr="002B580B" w:rsidRDefault="00F56380" w:rsidP="00716653">
      <w:pPr>
        <w:pStyle w:val="ListParagraph"/>
        <w:numPr>
          <w:ilvl w:val="0"/>
          <w:numId w:val="14"/>
        </w:numPr>
        <w:spacing w:after="0" w:line="259" w:lineRule="auto"/>
        <w:rPr>
          <w:rFonts w:asciiTheme="minorHAnsi" w:eastAsiaTheme="minorEastAsia" w:hAnsiTheme="minorHAnsi"/>
          <w:sz w:val="22"/>
        </w:rPr>
      </w:pPr>
      <w:r w:rsidRPr="72049F6B">
        <w:rPr>
          <w:rFonts w:asciiTheme="minorHAnsi" w:eastAsiaTheme="minorEastAsia" w:hAnsiTheme="minorHAnsi"/>
          <w:sz w:val="22"/>
        </w:rPr>
        <w:t xml:space="preserve">On March 1, 2024, the </w:t>
      </w:r>
      <w:r w:rsidR="02545639" w:rsidRPr="72049F6B">
        <w:rPr>
          <w:rFonts w:asciiTheme="minorHAnsi" w:eastAsiaTheme="minorEastAsia" w:hAnsiTheme="minorHAnsi"/>
          <w:sz w:val="22"/>
        </w:rPr>
        <w:t>U.S. Court of Appeals for the</w:t>
      </w:r>
      <w:r w:rsidRPr="72049F6B">
        <w:rPr>
          <w:rFonts w:asciiTheme="minorHAnsi" w:eastAsiaTheme="minorEastAsia" w:hAnsiTheme="minorHAnsi"/>
          <w:sz w:val="22"/>
        </w:rPr>
        <w:t xml:space="preserve"> D.C. Circuit</w:t>
      </w:r>
      <w:r w:rsidR="007C14B7">
        <w:rPr>
          <w:rFonts w:asciiTheme="minorHAnsi" w:eastAsiaTheme="minorEastAsia" w:hAnsiTheme="minorHAnsi"/>
          <w:sz w:val="22"/>
        </w:rPr>
        <w:t xml:space="preserve"> </w:t>
      </w:r>
      <w:r w:rsidRPr="72049F6B">
        <w:rPr>
          <w:rFonts w:asciiTheme="minorHAnsi" w:eastAsiaTheme="minorEastAsia" w:hAnsiTheme="minorHAnsi"/>
          <w:sz w:val="22"/>
        </w:rPr>
        <w:t>issued a decision in the 2015 SSM SIP Call litigation. In a split decision, the court vacated the majority of EPA’s 2015 SSM SIP Call issued to 36 states</w:t>
      </w:r>
      <w:r w:rsidR="45B5DA15" w:rsidRPr="72049F6B">
        <w:rPr>
          <w:rFonts w:asciiTheme="minorHAnsi" w:eastAsiaTheme="minorEastAsia" w:hAnsiTheme="minorHAnsi"/>
          <w:sz w:val="22"/>
        </w:rPr>
        <w:t xml:space="preserve"> (including Georgia)</w:t>
      </w:r>
      <w:r w:rsidRPr="72049F6B">
        <w:rPr>
          <w:rFonts w:asciiTheme="minorHAnsi" w:eastAsiaTheme="minorEastAsia" w:hAnsiTheme="minorHAnsi"/>
          <w:sz w:val="22"/>
        </w:rPr>
        <w:t>, finding that EPA did not provide a sufficient basis to recall states rules with automatic exemptions, including complete affirmative defenses, or to state director’s discretion provisions.</w:t>
      </w:r>
      <w:r w:rsidR="007C14B7">
        <w:rPr>
          <w:rFonts w:asciiTheme="minorHAnsi" w:eastAsiaTheme="minorEastAsia" w:hAnsiTheme="minorHAnsi"/>
          <w:sz w:val="22"/>
        </w:rPr>
        <w:t xml:space="preserve"> </w:t>
      </w:r>
      <w:r w:rsidR="0065240C" w:rsidRPr="72049F6B">
        <w:rPr>
          <w:rFonts w:asciiTheme="minorHAnsi" w:eastAsiaTheme="minorEastAsia" w:hAnsiTheme="minorHAnsi"/>
          <w:sz w:val="22"/>
        </w:rPr>
        <w:t xml:space="preserve">As a result, </w:t>
      </w:r>
      <w:r w:rsidR="00191398" w:rsidRPr="72049F6B">
        <w:rPr>
          <w:rFonts w:asciiTheme="minorHAnsi" w:eastAsiaTheme="minorEastAsia" w:hAnsiTheme="minorHAnsi"/>
          <w:sz w:val="22"/>
        </w:rPr>
        <w:t>on June 24, 2024,</w:t>
      </w:r>
      <w:r w:rsidR="005A7617" w:rsidRPr="72049F6B">
        <w:rPr>
          <w:rFonts w:asciiTheme="minorHAnsi" w:eastAsiaTheme="minorEastAsia" w:hAnsiTheme="minorHAnsi"/>
          <w:sz w:val="22"/>
        </w:rPr>
        <w:t xml:space="preserve"> Georgia EPD formally withdrew</w:t>
      </w:r>
      <w:r w:rsidR="0054754D" w:rsidRPr="72049F6B">
        <w:rPr>
          <w:rFonts w:asciiTheme="minorHAnsi" w:eastAsiaTheme="minorEastAsia" w:hAnsiTheme="minorHAnsi"/>
          <w:sz w:val="22"/>
        </w:rPr>
        <w:t xml:space="preserve"> its request for EPA to review and approve the new state SSM rule</w:t>
      </w:r>
      <w:r w:rsidR="00531C2E" w:rsidRPr="72049F6B">
        <w:rPr>
          <w:rFonts w:asciiTheme="minorHAnsi" w:eastAsiaTheme="minorEastAsia" w:hAnsiTheme="minorHAnsi"/>
          <w:sz w:val="22"/>
        </w:rPr>
        <w:t xml:space="preserve"> as part of the SIP</w:t>
      </w:r>
      <w:r w:rsidR="00F91ED4" w:rsidRPr="72049F6B">
        <w:rPr>
          <w:rFonts w:asciiTheme="minorHAnsi" w:eastAsiaTheme="minorEastAsia" w:hAnsiTheme="minorHAnsi"/>
          <w:sz w:val="22"/>
        </w:rPr>
        <w:t xml:space="preserve"> and will </w:t>
      </w:r>
      <w:r w:rsidR="008B05D8" w:rsidRPr="72049F6B">
        <w:rPr>
          <w:rFonts w:asciiTheme="minorHAnsi" w:eastAsiaTheme="minorEastAsia" w:hAnsiTheme="minorHAnsi"/>
          <w:sz w:val="22"/>
        </w:rPr>
        <w:t xml:space="preserve">soon </w:t>
      </w:r>
      <w:r w:rsidR="00F91ED4" w:rsidRPr="72049F6B">
        <w:rPr>
          <w:rFonts w:asciiTheme="minorHAnsi" w:eastAsiaTheme="minorEastAsia" w:hAnsiTheme="minorHAnsi"/>
          <w:sz w:val="22"/>
        </w:rPr>
        <w:t>take action to remove</w:t>
      </w:r>
      <w:r w:rsidR="00E133C6" w:rsidRPr="72049F6B">
        <w:rPr>
          <w:rFonts w:asciiTheme="minorHAnsi" w:eastAsiaTheme="minorEastAsia" w:hAnsiTheme="minorHAnsi"/>
          <w:sz w:val="22"/>
        </w:rPr>
        <w:t xml:space="preserve"> the </w:t>
      </w:r>
      <w:r w:rsidR="0039003D" w:rsidRPr="72049F6B">
        <w:rPr>
          <w:rFonts w:asciiTheme="minorHAnsi" w:eastAsiaTheme="minorEastAsia" w:hAnsiTheme="minorHAnsi"/>
          <w:sz w:val="22"/>
        </w:rPr>
        <w:t xml:space="preserve">new </w:t>
      </w:r>
      <w:r w:rsidR="00E133C6" w:rsidRPr="72049F6B">
        <w:rPr>
          <w:rFonts w:asciiTheme="minorHAnsi" w:eastAsiaTheme="minorEastAsia" w:hAnsiTheme="minorHAnsi"/>
          <w:sz w:val="22"/>
        </w:rPr>
        <w:t>rule</w:t>
      </w:r>
      <w:r w:rsidR="0039003D" w:rsidRPr="72049F6B">
        <w:rPr>
          <w:rFonts w:asciiTheme="minorHAnsi" w:eastAsiaTheme="minorEastAsia" w:hAnsiTheme="minorHAnsi"/>
          <w:sz w:val="22"/>
        </w:rPr>
        <w:t xml:space="preserve"> from the </w:t>
      </w:r>
      <w:r w:rsidR="00E3576D" w:rsidRPr="72049F6B">
        <w:rPr>
          <w:rFonts w:asciiTheme="minorHAnsi" w:eastAsiaTheme="minorEastAsia" w:hAnsiTheme="minorHAnsi"/>
          <w:sz w:val="22"/>
        </w:rPr>
        <w:t>state rules.</w:t>
      </w:r>
    </w:p>
    <w:p w14:paraId="70737182" w14:textId="3E039B1F" w:rsidR="00CA448C" w:rsidRPr="0081189F" w:rsidRDefault="00CA448C" w:rsidP="0081189F">
      <w:pPr>
        <w:pStyle w:val="Smallheading3notoc"/>
        <w:rPr>
          <w:color w:val="2F5496" w:themeColor="accent1" w:themeShade="BF"/>
        </w:rPr>
      </w:pPr>
      <w:r w:rsidRPr="0081189F">
        <w:rPr>
          <w:color w:val="2F5496" w:themeColor="accent1" w:themeShade="BF"/>
        </w:rPr>
        <w:t xml:space="preserve">Georgia Multipollutant Rule and </w:t>
      </w:r>
      <w:r w:rsidRPr="00DB7156">
        <w:t>SO</w:t>
      </w:r>
      <w:r w:rsidRPr="00DB7156">
        <w:rPr>
          <w:vertAlign w:val="subscript"/>
        </w:rPr>
        <w:t>2</w:t>
      </w:r>
      <w:r w:rsidRPr="0081189F">
        <w:rPr>
          <w:color w:val="2F5496" w:themeColor="accent1" w:themeShade="BF"/>
        </w:rPr>
        <w:t xml:space="preserve"> Emissions Rule (GA Rule 391-3-1-.02(2)(</w:t>
      </w:r>
      <w:proofErr w:type="spellStart"/>
      <w:r w:rsidRPr="0081189F">
        <w:rPr>
          <w:color w:val="2F5496" w:themeColor="accent1" w:themeShade="BF"/>
        </w:rPr>
        <w:t>sss</w:t>
      </w:r>
      <w:proofErr w:type="spellEnd"/>
      <w:r w:rsidRPr="0081189F">
        <w:rPr>
          <w:color w:val="2F5496" w:themeColor="accent1" w:themeShade="BF"/>
        </w:rPr>
        <w:t>) and (</w:t>
      </w:r>
      <w:proofErr w:type="spellStart"/>
      <w:r w:rsidRPr="0081189F">
        <w:rPr>
          <w:color w:val="2F5496" w:themeColor="accent1" w:themeShade="BF"/>
        </w:rPr>
        <w:t>uuu</w:t>
      </w:r>
      <w:proofErr w:type="spellEnd"/>
      <w:r w:rsidRPr="0081189F">
        <w:rPr>
          <w:color w:val="2F5496" w:themeColor="accent1" w:themeShade="BF"/>
        </w:rPr>
        <w:t>))</w:t>
      </w:r>
    </w:p>
    <w:p w14:paraId="17D68BCE" w14:textId="7E58FAA3" w:rsidR="00CA448C" w:rsidRDefault="00CA448C" w:rsidP="00420E8F">
      <w:r w:rsidRPr="00DB7156">
        <w:t>In response to federal environmental rules</w:t>
      </w:r>
      <w:r w:rsidR="00E70F00">
        <w:t>,</w:t>
      </w:r>
      <w:r w:rsidRPr="00DB7156">
        <w:t xml:space="preserve"> as well as state-specific objectives, Georgia</w:t>
      </w:r>
      <w:r w:rsidR="007C14B7">
        <w:t xml:space="preserve"> </w:t>
      </w:r>
      <w:r w:rsidRPr="00DB7156">
        <w:t xml:space="preserve">implemented a set of state rules </w:t>
      </w:r>
      <w:r>
        <w:t xml:space="preserve">requiring installation of emission controls and setting </w:t>
      </w:r>
      <w:r w:rsidRPr="00DB7156">
        <w:t xml:space="preserve">emission </w:t>
      </w:r>
      <w:r>
        <w:t>standards for</w:t>
      </w:r>
      <w:r w:rsidRPr="00DB7156">
        <w:t xml:space="preserve"> </w:t>
      </w:r>
      <w:r>
        <w:t xml:space="preserve">coal-fired </w:t>
      </w:r>
      <w:r w:rsidRPr="00DB7156">
        <w:t xml:space="preserve">power plants. </w:t>
      </w:r>
    </w:p>
    <w:p w14:paraId="1CBE0FD1" w14:textId="448F6092" w:rsidR="00CA448C" w:rsidRPr="00DB7156" w:rsidRDefault="00CA448C" w:rsidP="00420E8F">
      <w:r>
        <w:t>Georgia EPD targeted emissions reductions for a broad set of air quality objectives with t</w:t>
      </w:r>
      <w:r w:rsidRPr="00DB7156">
        <w:t>he Georgia Multipollutant Rule</w:t>
      </w:r>
      <w:r>
        <w:t xml:space="preserve">, which </w:t>
      </w:r>
      <w:r w:rsidRPr="00DB7156">
        <w:t>was finalized in June 2007</w:t>
      </w:r>
      <w:r>
        <w:t xml:space="preserve">. </w:t>
      </w:r>
      <w:r w:rsidRPr="00DB7156">
        <w:t>The Georgia Multipollutant Rule was designed to reduce emissions of mercury, SO</w:t>
      </w:r>
      <w:r w:rsidRPr="00DB7156">
        <w:rPr>
          <w:vertAlign w:val="subscript"/>
        </w:rPr>
        <w:t>2</w:t>
      </w:r>
      <w:r w:rsidRPr="00DB7156">
        <w:t>, and NO</w:t>
      </w:r>
      <w:r w:rsidRPr="00442755">
        <w:t>x</w:t>
      </w:r>
      <w:r w:rsidRPr="00DB7156">
        <w:t xml:space="preserve"> statewide by requiring installation of specified control technologies </w:t>
      </w:r>
      <w:r>
        <w:t xml:space="preserve">on </w:t>
      </w:r>
      <w:proofErr w:type="gramStart"/>
      <w:r>
        <w:t>all of</w:t>
      </w:r>
      <w:proofErr w:type="gramEnd"/>
      <w:r>
        <w:t xml:space="preserve"> the larger coal-fired </w:t>
      </w:r>
      <w:r w:rsidR="00CD2DA7">
        <w:t>EGUs</w:t>
      </w:r>
      <w:r>
        <w:t xml:space="preserve"> </w:t>
      </w:r>
      <w:r w:rsidRPr="00DB7156">
        <w:t>by specific dates</w:t>
      </w:r>
      <w:r w:rsidR="009A60A2">
        <w:t>,</w:t>
      </w:r>
      <w:r w:rsidRPr="00DB7156">
        <w:t xml:space="preserve"> originally set between December 31, 2008, and June 1, </w:t>
      </w:r>
      <w:r w:rsidRPr="005148F0">
        <w:t>2015</w:t>
      </w:r>
      <w:r w:rsidRPr="00DB7156">
        <w:t xml:space="preserve">. </w:t>
      </w:r>
      <w:r>
        <w:t>Specified controls included flue gas desulfurization scrubbers, SCRs, and baghouses.</w:t>
      </w:r>
    </w:p>
    <w:p w14:paraId="42717E52" w14:textId="27AD08A2" w:rsidR="00CA448C" w:rsidRPr="00DB7156" w:rsidRDefault="00CA448C" w:rsidP="00420E8F">
      <w:r>
        <w:lastRenderedPageBreak/>
        <w:t>The Georgia SO</w:t>
      </w:r>
      <w:r w:rsidRPr="6F95C434">
        <w:rPr>
          <w:vertAlign w:val="subscript"/>
        </w:rPr>
        <w:t>2</w:t>
      </w:r>
      <w:r>
        <w:t xml:space="preserve"> Emissions Rule, finalized in January 2009, was designed to be a companion rule to the Georgia Multipollutant Rule. The rule requires reduction of SO</w:t>
      </w:r>
      <w:r w:rsidRPr="6F95C434">
        <w:rPr>
          <w:vertAlign w:val="subscript"/>
        </w:rPr>
        <w:t>2</w:t>
      </w:r>
      <w:r>
        <w:t xml:space="preserve"> emissions by 95% from all units required to install </w:t>
      </w:r>
      <w:r w:rsidR="003540B1">
        <w:t>scrubbers</w:t>
      </w:r>
      <w:r>
        <w:t xml:space="preserve"> under the Georgia Multipollutant Rule, except Plant Yates Unit 1 where a 90% reduction was required. The rule required compliance beginning in January 2010 for units with </w:t>
      </w:r>
      <w:r w:rsidR="003540B1">
        <w:t>scrubbers</w:t>
      </w:r>
      <w:r>
        <w:t xml:space="preserve"> in </w:t>
      </w:r>
      <w:r w:rsidDel="00AD64A3">
        <w:t>operation</w:t>
      </w:r>
      <w:r>
        <w:t xml:space="preserve"> and requires reductions from the remaining units at dates aligning with or close to the Multipollutant Rule compliance dates.  </w:t>
      </w:r>
    </w:p>
    <w:p w14:paraId="4626CCE7" w14:textId="56F9FBA1" w:rsidR="00965833" w:rsidRDefault="00CA448C" w:rsidP="00420E8F">
      <w:r>
        <w:t xml:space="preserve">The most recent </w:t>
      </w:r>
      <w:r w:rsidRPr="00DB7156">
        <w:t>revisions to both the Georgia Multipollutant Rule and Georgia SO</w:t>
      </w:r>
      <w:r w:rsidRPr="00DB7156">
        <w:rPr>
          <w:vertAlign w:val="subscript"/>
        </w:rPr>
        <w:t>2</w:t>
      </w:r>
      <w:r w:rsidRPr="00DB7156">
        <w:t xml:space="preserve"> Emissions Rule </w:t>
      </w:r>
      <w:r>
        <w:t>were finalized in</w:t>
      </w:r>
      <w:r w:rsidRPr="00DB7156">
        <w:t xml:space="preserve"> June 2011</w:t>
      </w:r>
      <w:r>
        <w:t xml:space="preserve"> and April 2013</w:t>
      </w:r>
      <w:r w:rsidRPr="00DB7156">
        <w:t xml:space="preserve">. These revisions moved up the </w:t>
      </w:r>
      <w:r w:rsidR="003540B1">
        <w:t>scrubber</w:t>
      </w:r>
      <w:r w:rsidRPr="00DB7156">
        <w:t xml:space="preserve"> and SCR compliance dates </w:t>
      </w:r>
      <w:r>
        <w:t xml:space="preserve">for </w:t>
      </w:r>
      <w:r w:rsidR="005A289C">
        <w:t>certai</w:t>
      </w:r>
      <w:r>
        <w:t>n units</w:t>
      </w:r>
      <w:r w:rsidRPr="00DB7156">
        <w:t xml:space="preserve"> and allowed for additional time to install controls </w:t>
      </w:r>
      <w:r>
        <w:t xml:space="preserve">at other units, </w:t>
      </w:r>
      <w:proofErr w:type="gramStart"/>
      <w:r w:rsidRPr="00DB7156">
        <w:t>in an attempt to</w:t>
      </w:r>
      <w:proofErr w:type="gramEnd"/>
      <w:r w:rsidRPr="00DB7156">
        <w:t xml:space="preserve"> streamline the compliance deadlines in the state rules with the </w:t>
      </w:r>
      <w:r>
        <w:t>M</w:t>
      </w:r>
      <w:r w:rsidRPr="00DB7156">
        <w:t xml:space="preserve">ATS </w:t>
      </w:r>
      <w:r>
        <w:t>R</w:t>
      </w:r>
      <w:r w:rsidRPr="00DB7156">
        <w:t>ule</w:t>
      </w:r>
      <w:r>
        <w:t xml:space="preserve"> deadline of April 2015. The revision also provided the option for Plant Yates units to switch to natural gas instead of installing </w:t>
      </w:r>
      <w:r w:rsidR="003540B1">
        <w:t>scrubbers</w:t>
      </w:r>
      <w:r>
        <w:t xml:space="preserve"> and SCRs.</w:t>
      </w:r>
    </w:p>
    <w:p w14:paraId="635F2213" w14:textId="6015241F" w:rsidR="00172288" w:rsidRDefault="00172288" w:rsidP="002D3C1E">
      <w:r w:rsidRPr="00172288">
        <w:t>On December 22, 2023, Georgia EPD submitted to the DNR Board a “Technology and Mercury Impact Review – Periodic Evaluation” report in accordance with Georgia Multipollutant Rule.</w:t>
      </w:r>
      <w:r w:rsidR="007C14B7">
        <w:t xml:space="preserve"> </w:t>
      </w:r>
      <w:r w:rsidRPr="00172288">
        <w:t xml:space="preserve">Based on controls already imposed by Georgia EPD </w:t>
      </w:r>
      <w:r w:rsidR="00F365A7">
        <w:t>and</w:t>
      </w:r>
      <w:r w:rsidRPr="00172288">
        <w:t xml:space="preserve"> implementation of EPA’s 2012 </w:t>
      </w:r>
      <w:r w:rsidR="004F36D0">
        <w:t>MATS Rule</w:t>
      </w:r>
      <w:r w:rsidRPr="00172288">
        <w:t>, Georgia EPD d</w:t>
      </w:r>
      <w:r w:rsidR="00197C4C">
        <w:t>id</w:t>
      </w:r>
      <w:r w:rsidRPr="00172288">
        <w:t xml:space="preserve"> not recommend any change to the Georgia Multipollutant Rule or additional regulations.</w:t>
      </w:r>
    </w:p>
    <w:p w14:paraId="3C9493AA" w14:textId="611B71EB" w:rsidR="00E949FD" w:rsidRPr="00B608BD" w:rsidRDefault="007E3402" w:rsidP="00B608BD">
      <w:pPr>
        <w:pStyle w:val="Heading4"/>
      </w:pPr>
      <w:r w:rsidRPr="00B608BD">
        <w:t>2.3.</w:t>
      </w:r>
      <w:r w:rsidR="00013D7B" w:rsidRPr="00B608BD">
        <w:t>1.1</w:t>
      </w:r>
      <w:r w:rsidR="00013D7B" w:rsidRPr="00B608BD">
        <w:tab/>
      </w:r>
      <w:r w:rsidR="00546AB3" w:rsidRPr="00B608BD">
        <w:t>NAAQS</w:t>
      </w:r>
      <w:r w:rsidR="00E949FD" w:rsidRPr="00B608BD">
        <w:t xml:space="preserve"> and Georgia Regulations Compliance Strategy </w:t>
      </w:r>
    </w:p>
    <w:p w14:paraId="5DE6CDA1" w14:textId="34F7E25F" w:rsidR="00CA448C" w:rsidRDefault="00CA448C" w:rsidP="008105BD">
      <w:r>
        <w:t>Georgia Power’s compliance strategy for NAAQS, SSM, and Georgia-specific requirements includes continued compliance with Georgia Rule (</w:t>
      </w:r>
      <w:proofErr w:type="spellStart"/>
      <w:r>
        <w:t>jjj</w:t>
      </w:r>
      <w:proofErr w:type="spellEnd"/>
      <w:r>
        <w:t xml:space="preserve">), the </w:t>
      </w:r>
      <w:r w:rsidR="004F36D0">
        <w:t>Georgia</w:t>
      </w:r>
      <w:r>
        <w:t xml:space="preserve"> Multipollutant Rule, the SO</w:t>
      </w:r>
      <w:r w:rsidRPr="000143D6">
        <w:rPr>
          <w:vertAlign w:val="subscript"/>
        </w:rPr>
        <w:t>2</w:t>
      </w:r>
      <w:r>
        <w:t xml:space="preserve"> Emissions Rule, and continued diligence and operations of control equipment and minimizing emissions to meet SSM requirements.</w:t>
      </w:r>
    </w:p>
    <w:p w14:paraId="7A6B81EF" w14:textId="67DE1217" w:rsidR="00CA448C" w:rsidRDefault="00660D3B" w:rsidP="008105BD">
      <w:r>
        <w:t>With</w:t>
      </w:r>
      <w:r w:rsidR="00CA448C">
        <w:t xml:space="preserve"> the </w:t>
      </w:r>
      <w:r>
        <w:t>recent lowering of the PM</w:t>
      </w:r>
      <w:r w:rsidRPr="00635BC3">
        <w:rPr>
          <w:vertAlign w:val="subscript"/>
        </w:rPr>
        <w:t>2.5</w:t>
      </w:r>
      <w:r w:rsidR="00CA448C">
        <w:t xml:space="preserve"> NAAQS </w:t>
      </w:r>
      <w:r>
        <w:t xml:space="preserve">and possible future changes to the ozone </w:t>
      </w:r>
      <w:r w:rsidR="00CA448C">
        <w:t xml:space="preserve">NAAQS area, new areas within Georgia and Alabama may become nonattainment in the future. This </w:t>
      </w:r>
      <w:r w:rsidR="00E75140">
        <w:t xml:space="preserve">potential change </w:t>
      </w:r>
      <w:r w:rsidR="00CA448C">
        <w:t>may result in more stringent emissions and/or permitting requirements. However, because the remaining Georgia Power generating fleet is well</w:t>
      </w:r>
      <w:r w:rsidR="007F4E87">
        <w:t>-</w:t>
      </w:r>
      <w:r w:rsidR="00CA448C">
        <w:t xml:space="preserve">controlled for the relevant emissions, lower air quality standards are unlikely to result in the addition of </w:t>
      </w:r>
      <w:r w:rsidR="00356040">
        <w:t xml:space="preserve">new </w:t>
      </w:r>
      <w:r w:rsidR="00CA448C">
        <w:t>emission controls</w:t>
      </w:r>
      <w:r w:rsidR="00AC6514">
        <w:t xml:space="preserve"> but could result in additional capital investment</w:t>
      </w:r>
      <w:r w:rsidR="00707BED">
        <w:t xml:space="preserve"> and expense</w:t>
      </w:r>
      <w:r w:rsidR="00B56C76">
        <w:t>s</w:t>
      </w:r>
      <w:r w:rsidR="00707BED">
        <w:t xml:space="preserve"> associated with operating existing emission controls</w:t>
      </w:r>
      <w:r w:rsidR="00CA448C">
        <w:t xml:space="preserve">. </w:t>
      </w:r>
    </w:p>
    <w:p w14:paraId="0964B5F9" w14:textId="14803A75" w:rsidR="00CA448C" w:rsidRDefault="00713829" w:rsidP="008105BD">
      <w:r>
        <w:t>T</w:t>
      </w:r>
      <w:r w:rsidR="00CA448C">
        <w:t xml:space="preserve">he Company will continue to monitor developments in SSM, NAAQS, and other related state rules to determine any impacts to the environmental compliance strategy. </w:t>
      </w:r>
    </w:p>
    <w:p w14:paraId="77A5C694" w14:textId="6D8E4259" w:rsidR="00CA448C" w:rsidRPr="008105BD" w:rsidRDefault="00CA448C" w:rsidP="00A11BE8">
      <w:pPr>
        <w:pStyle w:val="Heading3"/>
      </w:pPr>
      <w:bookmarkStart w:id="54" w:name="_Toc130201009"/>
      <w:bookmarkStart w:id="55" w:name="_Toc188252324"/>
      <w:r w:rsidRPr="008070F6">
        <w:t>2.</w:t>
      </w:r>
      <w:r w:rsidR="00C92C1D" w:rsidRPr="008105BD">
        <w:t>3</w:t>
      </w:r>
      <w:r w:rsidRPr="008105BD">
        <w:t>.2 SO</w:t>
      </w:r>
      <w:r w:rsidRPr="008105BD">
        <w:rPr>
          <w:vertAlign w:val="subscript"/>
        </w:rPr>
        <w:t>2</w:t>
      </w:r>
      <w:r w:rsidRPr="008105BD">
        <w:t xml:space="preserve"> and NOx Emissions Allowance Programs</w:t>
      </w:r>
      <w:bookmarkEnd w:id="54"/>
      <w:bookmarkEnd w:id="55"/>
    </w:p>
    <w:p w14:paraId="2DC013A7" w14:textId="77777777" w:rsidR="00CA448C" w:rsidRDefault="00CA448C" w:rsidP="008105BD">
      <w:r>
        <w:t xml:space="preserve">Congress or the EPA may use market-based programs to drive emission reductions over multi-state regions. These are typically used in instances where regional, rather than local, factors drive air quality impacts, such as acid rain or secondary formation of air pollution after direct emissions may have traveled over long distances. </w:t>
      </w:r>
    </w:p>
    <w:p w14:paraId="3CBEB91F" w14:textId="77777777" w:rsidR="00CA448C" w:rsidRPr="00161484" w:rsidRDefault="00CA448C" w:rsidP="0081189F">
      <w:pPr>
        <w:pStyle w:val="Smallheading3notoc"/>
        <w:rPr>
          <w:rFonts w:cs="Arial"/>
        </w:rPr>
      </w:pPr>
      <w:r w:rsidRPr="0081189F">
        <w:rPr>
          <w:color w:val="2F5496" w:themeColor="accent1" w:themeShade="BF"/>
        </w:rPr>
        <w:t>Acid Rain Program (40 CFR 72 through 78)</w:t>
      </w:r>
      <w:r w:rsidRPr="00161484">
        <w:rPr>
          <w:rFonts w:cs="Arial"/>
        </w:rPr>
        <w:tab/>
      </w:r>
    </w:p>
    <w:p w14:paraId="7BD0B0BA" w14:textId="5483502B" w:rsidR="00CA448C" w:rsidRDefault="00CA448C" w:rsidP="008105BD">
      <w:r>
        <w:lastRenderedPageBreak/>
        <w:t>Authorized by the 1990 Clean Air Act Amendments, t</w:t>
      </w:r>
      <w:r w:rsidRPr="00DB7156">
        <w:t>he Acid Rain Program sets a cap on SO</w:t>
      </w:r>
      <w:r w:rsidRPr="00DB7156">
        <w:rPr>
          <w:vertAlign w:val="subscript"/>
        </w:rPr>
        <w:t>2</w:t>
      </w:r>
      <w:r w:rsidRPr="00DB7156">
        <w:t xml:space="preserve"> emissions from power plants by allocating a fixed number of allowances to each unit subject to the program.</w:t>
      </w:r>
      <w:r w:rsidR="007C14B7">
        <w:t xml:space="preserve"> </w:t>
      </w:r>
      <w:r w:rsidRPr="00DB7156">
        <w:t>At the end of each year, a unit must surrender allowances in an amount equal to the number of tons of SO</w:t>
      </w:r>
      <w:r w:rsidRPr="00DB7156">
        <w:rPr>
          <w:vertAlign w:val="subscript"/>
        </w:rPr>
        <w:t>2</w:t>
      </w:r>
      <w:r w:rsidRPr="00DB7156">
        <w:t xml:space="preserve"> emitted.</w:t>
      </w:r>
      <w:r w:rsidR="007C14B7">
        <w:t xml:space="preserve"> </w:t>
      </w:r>
      <w:r w:rsidRPr="00DB7156">
        <w:t>Unused allowances may be sold to offset the cost of compliance or saved, i.e., banked, for future use.</w:t>
      </w:r>
      <w:r w:rsidR="007C14B7">
        <w:t xml:space="preserve"> </w:t>
      </w:r>
      <w:r w:rsidRPr="00DB7156">
        <w:t>Initial allowance allocations were received in 1995 when Phase I of the program began.</w:t>
      </w:r>
      <w:r w:rsidR="007C14B7">
        <w:t xml:space="preserve"> </w:t>
      </w:r>
      <w:r w:rsidRPr="00DB7156">
        <w:t>When Phase II began in 2000, the number of allowances available was reduced to limit SO</w:t>
      </w:r>
      <w:r w:rsidRPr="00DB7156">
        <w:rPr>
          <w:vertAlign w:val="subscript"/>
        </w:rPr>
        <w:t>2</w:t>
      </w:r>
      <w:r w:rsidRPr="00DB7156">
        <w:t xml:space="preserve"> emissions to 50% below 1980 levels by 2010.</w:t>
      </w:r>
      <w:r>
        <w:t xml:space="preserve"> </w:t>
      </w:r>
      <w:r w:rsidRPr="00DB7156">
        <w:t xml:space="preserve">The regulations also set </w:t>
      </w:r>
      <w:r>
        <w:t xml:space="preserve">emission rate </w:t>
      </w:r>
      <w:r w:rsidRPr="00DB7156">
        <w:t xml:space="preserve">limitations on </w:t>
      </w:r>
      <w:r w:rsidRPr="00442755">
        <w:t>NO</w:t>
      </w:r>
      <w:r w:rsidR="00442755">
        <w:t>x</w:t>
      </w:r>
      <w:r w:rsidRPr="00DB7156">
        <w:t xml:space="preserve"> emissions</w:t>
      </w:r>
      <w:r>
        <w:t xml:space="preserve"> from coal units, which can be met by individual units or by a group of units under an averaging plan</w:t>
      </w:r>
      <w:r w:rsidRPr="00DB7156">
        <w:t xml:space="preserve">. </w:t>
      </w:r>
    </w:p>
    <w:p w14:paraId="1018C0F1" w14:textId="515F8E07" w:rsidR="00CA448C" w:rsidRPr="0081189F" w:rsidRDefault="00CA448C" w:rsidP="0081189F">
      <w:pPr>
        <w:pStyle w:val="Smallheading3notoc"/>
        <w:rPr>
          <w:color w:val="2F5496" w:themeColor="accent1" w:themeShade="BF"/>
        </w:rPr>
      </w:pPr>
      <w:r w:rsidRPr="0081189F">
        <w:rPr>
          <w:color w:val="2F5496" w:themeColor="accent1" w:themeShade="BF"/>
        </w:rPr>
        <w:t>Ozone or PM2.5 Interstate Transport Rules (40 CFR 96 and 97)</w:t>
      </w:r>
    </w:p>
    <w:p w14:paraId="20AE8A49" w14:textId="000CEDFC" w:rsidR="00CA448C" w:rsidRDefault="00CA448C" w:rsidP="008105BD">
      <w:r w:rsidRPr="52F0A24A">
        <w:t>Since emissions to the air may</w:t>
      </w:r>
      <w:r w:rsidR="004C701C">
        <w:t>,</w:t>
      </w:r>
      <w:r w:rsidRPr="52F0A24A">
        <w:t xml:space="preserve"> under certain conditions</w:t>
      </w:r>
      <w:r w:rsidR="004C701C">
        <w:t>,</w:t>
      </w:r>
      <w:r w:rsidRPr="52F0A24A">
        <w:t xml:space="preserve"> travel over long distances, the </w:t>
      </w:r>
      <w:r w:rsidR="00384F6C">
        <w:t>CAA</w:t>
      </w:r>
      <w:r w:rsidRPr="52F0A24A">
        <w:t xml:space="preserve"> requires states </w:t>
      </w:r>
      <w:r w:rsidR="00CF4B91">
        <w:t>to</w:t>
      </w:r>
      <w:r w:rsidRPr="52F0A24A">
        <w:t xml:space="preserve"> not only address nonattainment of air quality standards within its own borders, but also requires states to develop plans to address any out-of-state air quality issues </w:t>
      </w:r>
      <w:r w:rsidR="002416A1" w:rsidRPr="52F0A24A">
        <w:t xml:space="preserve">to which </w:t>
      </w:r>
      <w:r w:rsidRPr="52F0A24A">
        <w:t xml:space="preserve">they contribute. EPA has issued various rules </w:t>
      </w:r>
      <w:r w:rsidR="006B1776">
        <w:t>to deal</w:t>
      </w:r>
      <w:r w:rsidRPr="52F0A24A">
        <w:t xml:space="preserve"> with the transport of pollutants on a regional or multi-state </w:t>
      </w:r>
      <w:r w:rsidR="00F83C03" w:rsidRPr="52F0A24A">
        <w:t xml:space="preserve">scale </w:t>
      </w:r>
      <w:r w:rsidRPr="52F0A24A">
        <w:t>to facilitate the development of these interstate plans.</w:t>
      </w:r>
      <w:r>
        <w:t xml:space="preserve"> I</w:t>
      </w:r>
      <w:r w:rsidRPr="00DB7156">
        <w:t>n July</w:t>
      </w:r>
      <w:r>
        <w:t xml:space="preserve"> </w:t>
      </w:r>
      <w:r w:rsidRPr="00DB7156">
        <w:t>2011</w:t>
      </w:r>
      <w:r>
        <w:t>,</w:t>
      </w:r>
      <w:r w:rsidRPr="00DB7156">
        <w:t xml:space="preserve"> EPA released the final </w:t>
      </w:r>
      <w:r w:rsidR="007D1190">
        <w:t>Cross State Air Pollution Rule (“</w:t>
      </w:r>
      <w:r w:rsidRPr="00DB7156">
        <w:t>CSAPR</w:t>
      </w:r>
      <w:r w:rsidR="007D1190">
        <w:t>”)</w:t>
      </w:r>
      <w:r w:rsidRPr="00DB7156">
        <w:t xml:space="preserve"> </w:t>
      </w:r>
      <w:r>
        <w:t xml:space="preserve">Rule, </w:t>
      </w:r>
      <w:r w:rsidRPr="00CC0123">
        <w:t>which replaced previous interstate transport rules such as the CAIR an</w:t>
      </w:r>
      <w:r w:rsidRPr="00A51F39">
        <w:t xml:space="preserve">d the </w:t>
      </w:r>
      <w:r w:rsidR="00E86CA8" w:rsidRPr="00DB7156">
        <w:t>NO</w:t>
      </w:r>
      <w:r w:rsidR="00442755">
        <w:t>x</w:t>
      </w:r>
      <w:r w:rsidR="00E86CA8" w:rsidRPr="00A51F39" w:rsidDel="005C6FB7">
        <w:t xml:space="preserve"> </w:t>
      </w:r>
      <w:r w:rsidRPr="00A51F39">
        <w:t>Budget Trading Program</w:t>
      </w:r>
      <w:r>
        <w:t xml:space="preserve">. </w:t>
      </w:r>
      <w:r w:rsidRPr="00DB7156">
        <w:t>The final rule applied to 27 states, including Georgia and Alabama. CSAPR established annual allowance trading program</w:t>
      </w:r>
      <w:r>
        <w:t>s</w:t>
      </w:r>
      <w:r w:rsidRPr="00DB7156">
        <w:t xml:space="preserve"> for SO</w:t>
      </w:r>
      <w:r w:rsidRPr="00DB7156">
        <w:rPr>
          <w:vertAlign w:val="subscript"/>
        </w:rPr>
        <w:t>2</w:t>
      </w:r>
      <w:r w:rsidRPr="1FD948F7">
        <w:rPr>
          <w:vertAlign w:val="subscript"/>
        </w:rPr>
        <w:t>,</w:t>
      </w:r>
      <w:r w:rsidRPr="00DB7156">
        <w:t xml:space="preserve"> and </w:t>
      </w:r>
      <w:r w:rsidR="00E86CA8" w:rsidRPr="00442755">
        <w:t>NO</w:t>
      </w:r>
      <w:r w:rsidR="00442755">
        <w:t>x</w:t>
      </w:r>
      <w:r w:rsidRPr="00442755">
        <w:t>,</w:t>
      </w:r>
      <w:r w:rsidRPr="00DB7156">
        <w:t xml:space="preserve"> to reduce transport of fine particulate matter under the 1997 NAAQS and a separate ozone season </w:t>
      </w:r>
      <w:r w:rsidR="00442755" w:rsidRPr="00442755">
        <w:t>NO</w:t>
      </w:r>
      <w:r w:rsidR="00442755">
        <w:t>x</w:t>
      </w:r>
      <w:r w:rsidR="00E86CA8" w:rsidRPr="00DB7156">
        <w:t xml:space="preserve"> </w:t>
      </w:r>
      <w:r w:rsidRPr="00DB7156">
        <w:t xml:space="preserve">allowance trading program to reduce ground-level ozone under the 1997 standard. However, </w:t>
      </w:r>
      <w:r>
        <w:t>i</w:t>
      </w:r>
      <w:r w:rsidRPr="00DB7156">
        <w:t>n a significant departure from past federal allowance trading programs, CSAPR only allowed for limited interstate trading</w:t>
      </w:r>
      <w:r>
        <w:t xml:space="preserve"> resulting in a more restricted allowance market</w:t>
      </w:r>
      <w:r w:rsidRPr="00DB7156">
        <w:t>.</w:t>
      </w:r>
      <w:r>
        <w:t xml:space="preserve"> Due to rule challenges and legal proceedings, the implementation of CSAPR was delayed by </w:t>
      </w:r>
      <w:r w:rsidRPr="00DB7156">
        <w:t>three years, so that CSAPR</w:t>
      </w:r>
      <w:r>
        <w:t>’</w:t>
      </w:r>
      <w:r w:rsidRPr="00DB7156">
        <w:t xml:space="preserve">s Phase 1 emission budgets </w:t>
      </w:r>
      <w:r>
        <w:t>did not</w:t>
      </w:r>
      <w:r w:rsidRPr="00DB7156">
        <w:t xml:space="preserve"> apply </w:t>
      </w:r>
      <w:r>
        <w:t>until</w:t>
      </w:r>
      <w:r w:rsidRPr="00DB7156">
        <w:t xml:space="preserve"> 2015</w:t>
      </w:r>
      <w:r w:rsidR="7ABCE6A1">
        <w:t>,</w:t>
      </w:r>
      <w:r w:rsidRPr="00DB7156">
        <w:t xml:space="preserve"> and Phase 2 emission budgets </w:t>
      </w:r>
      <w:r>
        <w:t xml:space="preserve">began </w:t>
      </w:r>
      <w:r w:rsidRPr="00DB7156">
        <w:t xml:space="preserve">in 2017 and subsequent years. </w:t>
      </w:r>
    </w:p>
    <w:p w14:paraId="62FBD6DA" w14:textId="789979AB" w:rsidR="00CA448C" w:rsidRPr="002E0A92" w:rsidRDefault="00CA448C" w:rsidP="008105BD">
      <w:r>
        <w:t xml:space="preserve">In September 2016, EPA finalized the </w:t>
      </w:r>
      <w:r w:rsidRPr="00100693">
        <w:t xml:space="preserve">Cross State Air Pollution Rule Update </w:t>
      </w:r>
      <w:r w:rsidRPr="0AF8DB6F">
        <w:t>(“</w:t>
      </w:r>
      <w:r w:rsidRPr="00100693">
        <w:t>CSAPR Update Rule</w:t>
      </w:r>
      <w:r w:rsidRPr="0AF8DB6F">
        <w:t>”)</w:t>
      </w:r>
      <w:r>
        <w:t xml:space="preserve"> to address interstate transport related to the 2008 ozone NAAQS, further </w:t>
      </w:r>
      <w:r w:rsidR="006800A1">
        <w:t xml:space="preserve">restricting </w:t>
      </w:r>
      <w:r>
        <w:t xml:space="preserve">interstate allowance trading for ozone season </w:t>
      </w:r>
      <w:r w:rsidR="00442755" w:rsidRPr="00442755">
        <w:t>NO</w:t>
      </w:r>
      <w:r w:rsidR="00442755">
        <w:t>x</w:t>
      </w:r>
      <w:r>
        <w:t xml:space="preserve">. As a result, allowance allocations were unchanged but facilities in Georgia could no longer trade allowances outside of the state. Alabama was among 22 states placed in a different trading group that could trade with each other but had allowance allocations reduced </w:t>
      </w:r>
      <w:proofErr w:type="gramStart"/>
      <w:r>
        <w:t>as a result of</w:t>
      </w:r>
      <w:proofErr w:type="gramEnd"/>
      <w:r>
        <w:t xml:space="preserve"> the CSAPR Update Rule. </w:t>
      </w:r>
      <w:r w:rsidRPr="00100693">
        <w:t xml:space="preserve">In October 2020, EPA </w:t>
      </w:r>
      <w:r>
        <w:t>issued</w:t>
      </w:r>
      <w:r w:rsidRPr="00100693">
        <w:t xml:space="preserve"> a proposal to revise the </w:t>
      </w:r>
      <w:r>
        <w:t xml:space="preserve">CSAPR Update Rule </w:t>
      </w:r>
      <w:r w:rsidRPr="00100693">
        <w:t xml:space="preserve">in response to </w:t>
      </w:r>
      <w:r>
        <w:t>a</w:t>
      </w:r>
      <w:r w:rsidRPr="00100693">
        <w:t xml:space="preserve"> D.C. Circuit Court</w:t>
      </w:r>
      <w:r w:rsidRPr="2B377831">
        <w:t xml:space="preserve"> of Appeal’s </w:t>
      </w:r>
      <w:r>
        <w:t>decision</w:t>
      </w:r>
      <w:r w:rsidRPr="2B377831">
        <w:t>.</w:t>
      </w:r>
      <w:r w:rsidR="008B2719">
        <w:t xml:space="preserve"> </w:t>
      </w:r>
      <w:r>
        <w:t xml:space="preserve">Georgia and Alabama’s emissions budgets remains unchanged; however, the revision led to the creation of third </w:t>
      </w:r>
      <w:r w:rsidR="00A6552E">
        <w:t xml:space="preserve">ozone </w:t>
      </w:r>
      <w:r w:rsidR="00442755" w:rsidRPr="00442755">
        <w:t>NO</w:t>
      </w:r>
      <w:r w:rsidR="00442755">
        <w:t>x</w:t>
      </w:r>
      <w:r w:rsidR="00E86CA8">
        <w:t xml:space="preserve"> </w:t>
      </w:r>
      <w:r>
        <w:t>allowance trading group, further restricting interstate trading.</w:t>
      </w:r>
    </w:p>
    <w:p w14:paraId="726E5C35" w14:textId="79F178EE" w:rsidR="00CA448C" w:rsidRDefault="00CA448C" w:rsidP="008105BD">
      <w:r>
        <w:t>In</w:t>
      </w:r>
      <w:r w:rsidRPr="00B80322">
        <w:t xml:space="preserve"> October </w:t>
      </w:r>
      <w:r>
        <w:t>2021</w:t>
      </w:r>
      <w:r w:rsidRPr="00B80322">
        <w:t xml:space="preserve">, EPA published a Federal Register notice announcing that </w:t>
      </w:r>
      <w:r w:rsidR="001E559A">
        <w:t>it</w:t>
      </w:r>
      <w:r w:rsidRPr="00B80322">
        <w:t xml:space="preserve"> </w:t>
      </w:r>
      <w:r>
        <w:t>ha</w:t>
      </w:r>
      <w:r w:rsidR="1EB854A2">
        <w:t>d</w:t>
      </w:r>
      <w:r w:rsidRPr="00B80322">
        <w:t xml:space="preserve"> proposed a consent decree with several environmental groups related to the 2015 ozone NAAQS. The proposed consent decree would establish deadlines for EPA to act on 32 SIP submissions</w:t>
      </w:r>
      <w:r>
        <w:t xml:space="preserve">, including </w:t>
      </w:r>
      <w:r w:rsidR="55E873FF">
        <w:t xml:space="preserve">the SIPs for </w:t>
      </w:r>
      <w:r>
        <w:t>Alabama and Georgia,</w:t>
      </w:r>
      <w:r w:rsidRPr="00B80322">
        <w:t xml:space="preserve"> addressing interstate pollution transport for the 2015 ozone NAAQS.</w:t>
      </w:r>
      <w:r>
        <w:t xml:space="preserve"> </w:t>
      </w:r>
      <w:r w:rsidR="0068417C">
        <w:t>I</w:t>
      </w:r>
      <w:r>
        <w:t>n December 2021, EPA issued a final rule approving interstate transport provisions for the 2015 8-Hour ozone standard for Georgia, resolving the need to address interstate transport emissions from the state.</w:t>
      </w:r>
      <w:r w:rsidR="007C14B7">
        <w:t xml:space="preserve"> </w:t>
      </w:r>
    </w:p>
    <w:p w14:paraId="030F6B2F" w14:textId="41198FD5" w:rsidR="00323CA1" w:rsidRPr="00C425B0" w:rsidRDefault="003963DE" w:rsidP="008105BD">
      <w:r>
        <w:lastRenderedPageBreak/>
        <w:t>In February</w:t>
      </w:r>
      <w:r w:rsidR="00323CA1" w:rsidRPr="003963DE">
        <w:t xml:space="preserve"> 2022, EPA </w:t>
      </w:r>
      <w:r>
        <w:t xml:space="preserve">initiated actions to </w:t>
      </w:r>
      <w:r w:rsidR="00323CA1" w:rsidRPr="003963DE">
        <w:t>disapprove 19 interstate transport SIPs for the 2015 ozone NAAQS, including Alabama</w:t>
      </w:r>
      <w:r w:rsidR="00A04520">
        <w:t xml:space="preserve">, setting up the agency’s March 2022 proposed </w:t>
      </w:r>
      <w:r w:rsidR="00323CA1">
        <w:t>Federal Implementation Plan (“</w:t>
      </w:r>
      <w:r w:rsidR="00323CA1" w:rsidRPr="00C425B0">
        <w:t>FIP</w:t>
      </w:r>
      <w:r w:rsidR="00323CA1">
        <w:t>”), called the Good Neighbor Plan,</w:t>
      </w:r>
      <w:r w:rsidR="00323CA1" w:rsidRPr="00C425B0">
        <w:t xml:space="preserve"> to </w:t>
      </w:r>
      <w:r w:rsidR="00323CA1">
        <w:t xml:space="preserve">effectively revise CSAPR and </w:t>
      </w:r>
      <w:r w:rsidR="00323CA1" w:rsidRPr="00C425B0">
        <w:t xml:space="preserve">require reductions in </w:t>
      </w:r>
      <w:r w:rsidR="00323CA1">
        <w:t xml:space="preserve">ozone season </w:t>
      </w:r>
      <w:r w:rsidR="00323CA1" w:rsidRPr="00C425B0">
        <w:t xml:space="preserve">NOx emissions from sources in 26 states. </w:t>
      </w:r>
      <w:r w:rsidR="00323CA1">
        <w:t xml:space="preserve">Georgia is not included in the Good Neighbor Plan, but </w:t>
      </w:r>
      <w:r w:rsidR="00323CA1" w:rsidRPr="00C425B0">
        <w:t xml:space="preserve">Alabama </w:t>
      </w:r>
      <w:r w:rsidR="00323CA1">
        <w:t xml:space="preserve">was proposed to be moved to a more stringent ozone season </w:t>
      </w:r>
      <w:r w:rsidR="00442755" w:rsidRPr="00442755">
        <w:t>NO</w:t>
      </w:r>
      <w:r w:rsidR="00442755">
        <w:t>x</w:t>
      </w:r>
      <w:r w:rsidR="00E86CA8">
        <w:t xml:space="preserve"> </w:t>
      </w:r>
      <w:r w:rsidR="00323CA1">
        <w:t>trading group</w:t>
      </w:r>
      <w:r w:rsidR="00323CA1" w:rsidRPr="00C615C2">
        <w:t xml:space="preserve"> </w:t>
      </w:r>
      <w:r w:rsidR="00323CA1" w:rsidRPr="00C425B0">
        <w:t xml:space="preserve">starting in </w:t>
      </w:r>
      <w:r w:rsidR="00323CA1">
        <w:t xml:space="preserve">May </w:t>
      </w:r>
      <w:r w:rsidR="00323CA1" w:rsidRPr="00C425B0">
        <w:t>2023</w:t>
      </w:r>
      <w:r w:rsidR="00323CA1">
        <w:t xml:space="preserve">, which tends to have much higher allowance market prices. </w:t>
      </w:r>
    </w:p>
    <w:p w14:paraId="54EDC0C9" w14:textId="491BEDEB" w:rsidR="00A40876" w:rsidRPr="0081189F" w:rsidRDefault="00A40876" w:rsidP="008105BD">
      <w:r>
        <w:t xml:space="preserve">On February 13, 2023, EPA published a final rule disapproving infrastructure SIP submissions with respect to the 2015 8-hour ozone NAAQS for 19 states, including Alabama. </w:t>
      </w:r>
      <w:r w:rsidR="17D55607" w:rsidRPr="0081189F">
        <w:t xml:space="preserve">On April 13, </w:t>
      </w:r>
      <w:proofErr w:type="gramStart"/>
      <w:r w:rsidR="17D55607" w:rsidRPr="0081189F">
        <w:t>2023</w:t>
      </w:r>
      <w:proofErr w:type="gramEnd"/>
      <w:r w:rsidR="17D55607" w:rsidRPr="0081189F">
        <w:t xml:space="preserve"> and April 14, 2023, the State of Alabama, Alabama Power, and </w:t>
      </w:r>
      <w:proofErr w:type="spellStart"/>
      <w:r w:rsidR="17D55607" w:rsidRPr="0081189F">
        <w:t>PowerSouth</w:t>
      </w:r>
      <w:proofErr w:type="spellEnd"/>
      <w:r w:rsidR="17D55607" w:rsidRPr="0081189F">
        <w:t xml:space="preserve"> Energy Cooperative challenged the EPA's disapproval of the Alabama SIP in the U.S. Court of Appeals for the Eleventh Circuit. On August 17, 2023, the U.S. Court of Appeals for the Eleventh Circuit stayed the EPA's disapproval of the Alabama SIP, pending appeal. </w:t>
      </w:r>
    </w:p>
    <w:p w14:paraId="4009C3CD" w14:textId="025E8F3B" w:rsidR="00A40876" w:rsidRPr="0081189F" w:rsidRDefault="00A40876" w:rsidP="008105BD">
      <w:r>
        <w:t xml:space="preserve">On June 5, 2023, EPA published the final Good Neighbor Plan with an effective date of August 4, 2023. </w:t>
      </w:r>
      <w:r w:rsidR="0545D817" w:rsidRPr="0081189F">
        <w:t xml:space="preserve">On August 4, 2023, the State of Alabama, Alabama Power, and </w:t>
      </w:r>
      <w:proofErr w:type="spellStart"/>
      <w:r w:rsidR="0545D817" w:rsidRPr="0081189F">
        <w:t>PowerSouth</w:t>
      </w:r>
      <w:proofErr w:type="spellEnd"/>
      <w:r w:rsidR="0545D817" w:rsidRPr="0081189F">
        <w:t xml:space="preserve"> Energy Cooperative challenged the FIP for Alabama in the U.S. Court of Appeals for the Eleventh Circuit. </w:t>
      </w:r>
      <w:r w:rsidR="0545D817">
        <w:t>The FIP</w:t>
      </w:r>
      <w:r w:rsidR="0545D817" w:rsidRPr="0081189F">
        <w:t xml:space="preserve"> ca</w:t>
      </w:r>
      <w:r w:rsidR="61B73526" w:rsidRPr="0081189F">
        <w:t>s</w:t>
      </w:r>
      <w:r w:rsidR="0545D817" w:rsidRPr="0081189F">
        <w:t>e is being held in abeyance pending resolution of the Alabama SIP disapproval case.</w:t>
      </w:r>
    </w:p>
    <w:p w14:paraId="36E05D85" w14:textId="1C0788EF" w:rsidR="48F31349" w:rsidRPr="0081189F" w:rsidRDefault="48F31349" w:rsidP="008105BD">
      <w:r w:rsidRPr="0081189F">
        <w:t xml:space="preserve">In July and September 2023, the EPA published an Interim Final Rule and an updated Interim Final Rule that stays the implementation of the FIPs for states with judicially stayed SIP disapprovals, including Alabama. The Interim Final Rule revises the existing regulations to maintain currently applicable trading programs for those states. </w:t>
      </w:r>
    </w:p>
    <w:p w14:paraId="6EBDE0AB" w14:textId="7D0DF99B" w:rsidR="00125209" w:rsidRPr="00234D5A" w:rsidRDefault="00A40876" w:rsidP="00234D5A">
      <w:pPr>
        <w:pStyle w:val="Smallheading3notoc"/>
        <w:rPr>
          <w:i/>
        </w:rPr>
      </w:pPr>
      <w:r w:rsidRPr="00234D5A">
        <w:rPr>
          <w:i/>
        </w:rPr>
        <w:t xml:space="preserve"> </w:t>
      </w:r>
      <w:r w:rsidR="00CA448C" w:rsidRPr="00234D5A">
        <w:rPr>
          <w:i/>
        </w:rPr>
        <w:t>New Regulatory Updates</w:t>
      </w:r>
      <w:r w:rsidR="007C14B7" w:rsidRPr="00234D5A">
        <w:rPr>
          <w:i/>
        </w:rPr>
        <w:t xml:space="preserve"> </w:t>
      </w:r>
      <w:r w:rsidR="00125209" w:rsidRPr="00234D5A">
        <w:rPr>
          <w:i/>
        </w:rPr>
        <w:t> </w:t>
      </w:r>
    </w:p>
    <w:p w14:paraId="79CB9089" w14:textId="2AED5D08" w:rsidR="06DAC664" w:rsidRDefault="27AA1308" w:rsidP="00AD09B4">
      <w:pPr>
        <w:pStyle w:val="ListParagraph"/>
        <w:numPr>
          <w:ilvl w:val="0"/>
          <w:numId w:val="12"/>
        </w:numPr>
        <w:spacing w:after="0" w:line="259" w:lineRule="auto"/>
        <w:rPr>
          <w:rFonts w:asciiTheme="minorHAnsi" w:eastAsiaTheme="minorEastAsia" w:hAnsiTheme="minorHAnsi"/>
          <w:sz w:val="22"/>
        </w:rPr>
      </w:pPr>
      <w:r w:rsidRPr="752B8547">
        <w:rPr>
          <w:rFonts w:asciiTheme="minorHAnsi" w:eastAsiaTheme="minorEastAsia" w:hAnsiTheme="minorHAnsi"/>
          <w:sz w:val="22"/>
        </w:rPr>
        <w:t xml:space="preserve">On June 27, </w:t>
      </w:r>
      <w:r w:rsidRPr="21BAE0CB">
        <w:rPr>
          <w:rFonts w:asciiTheme="minorHAnsi" w:eastAsiaTheme="minorEastAsia" w:hAnsiTheme="minorHAnsi"/>
          <w:sz w:val="22"/>
        </w:rPr>
        <w:t xml:space="preserve">2024, the </w:t>
      </w:r>
      <w:r w:rsidRPr="0A57A002">
        <w:rPr>
          <w:rFonts w:asciiTheme="minorHAnsi" w:eastAsiaTheme="minorEastAsia" w:hAnsiTheme="minorHAnsi"/>
          <w:sz w:val="22"/>
        </w:rPr>
        <w:t>U.S</w:t>
      </w:r>
      <w:r w:rsidRPr="122FDAEC">
        <w:rPr>
          <w:rFonts w:asciiTheme="minorHAnsi" w:eastAsiaTheme="minorEastAsia" w:hAnsiTheme="minorHAnsi"/>
          <w:sz w:val="22"/>
        </w:rPr>
        <w:t xml:space="preserve">. </w:t>
      </w:r>
      <w:r w:rsidR="31BAB21E" w:rsidRPr="27C9054F">
        <w:rPr>
          <w:rFonts w:asciiTheme="minorHAnsi" w:eastAsiaTheme="minorEastAsia" w:hAnsiTheme="minorHAnsi"/>
          <w:sz w:val="22"/>
        </w:rPr>
        <w:t>Supreme</w:t>
      </w:r>
      <w:r w:rsidRPr="122FDAEC">
        <w:rPr>
          <w:rFonts w:asciiTheme="minorHAnsi" w:eastAsiaTheme="minorEastAsia" w:hAnsiTheme="minorHAnsi"/>
          <w:sz w:val="22"/>
        </w:rPr>
        <w:t xml:space="preserve"> Court stayed the 20</w:t>
      </w:r>
      <w:r w:rsidR="00AB49FA">
        <w:rPr>
          <w:rFonts w:asciiTheme="minorHAnsi" w:eastAsiaTheme="minorEastAsia" w:hAnsiTheme="minorHAnsi"/>
          <w:sz w:val="22"/>
        </w:rPr>
        <w:t>1</w:t>
      </w:r>
      <w:r w:rsidRPr="122FDAEC">
        <w:rPr>
          <w:rFonts w:asciiTheme="minorHAnsi" w:eastAsiaTheme="minorEastAsia" w:hAnsiTheme="minorHAnsi"/>
          <w:sz w:val="22"/>
        </w:rPr>
        <w:t xml:space="preserve">5 </w:t>
      </w:r>
      <w:r w:rsidRPr="4DC91182">
        <w:rPr>
          <w:rFonts w:asciiTheme="minorHAnsi" w:eastAsiaTheme="minorEastAsia" w:hAnsiTheme="minorHAnsi"/>
          <w:sz w:val="22"/>
        </w:rPr>
        <w:t xml:space="preserve">Ozone National </w:t>
      </w:r>
      <w:r w:rsidRPr="20B287A8">
        <w:rPr>
          <w:rFonts w:asciiTheme="minorHAnsi" w:eastAsiaTheme="minorEastAsia" w:hAnsiTheme="minorHAnsi"/>
          <w:sz w:val="22"/>
        </w:rPr>
        <w:t xml:space="preserve">Ambient Air </w:t>
      </w:r>
      <w:r w:rsidRPr="2C1D8996">
        <w:rPr>
          <w:rFonts w:asciiTheme="minorHAnsi" w:eastAsiaTheme="minorEastAsia" w:hAnsiTheme="minorHAnsi"/>
          <w:sz w:val="22"/>
        </w:rPr>
        <w:t>Quality Standards</w:t>
      </w:r>
      <w:r w:rsidRPr="5719B036">
        <w:rPr>
          <w:rFonts w:asciiTheme="minorHAnsi" w:eastAsiaTheme="minorEastAsia" w:hAnsiTheme="minorHAnsi"/>
          <w:sz w:val="22"/>
        </w:rPr>
        <w:t xml:space="preserve"> Good Neighbor </w:t>
      </w:r>
      <w:r w:rsidRPr="1DDB4CAC">
        <w:rPr>
          <w:rFonts w:asciiTheme="minorHAnsi" w:eastAsiaTheme="minorEastAsia" w:hAnsiTheme="minorHAnsi"/>
          <w:sz w:val="22"/>
        </w:rPr>
        <w:t xml:space="preserve">FIP </w:t>
      </w:r>
      <w:r w:rsidRPr="5242E586">
        <w:rPr>
          <w:rFonts w:asciiTheme="minorHAnsi" w:eastAsiaTheme="minorEastAsia" w:hAnsiTheme="minorHAnsi"/>
          <w:sz w:val="22"/>
        </w:rPr>
        <w:t xml:space="preserve">pending the disposition of </w:t>
      </w:r>
      <w:r w:rsidRPr="7C932528">
        <w:rPr>
          <w:rFonts w:asciiTheme="minorHAnsi" w:eastAsiaTheme="minorEastAsia" w:hAnsiTheme="minorHAnsi"/>
          <w:sz w:val="22"/>
        </w:rPr>
        <w:t xml:space="preserve">petitions </w:t>
      </w:r>
      <w:r w:rsidR="4D195AB4" w:rsidRPr="6D082B37">
        <w:rPr>
          <w:rFonts w:asciiTheme="minorHAnsi" w:eastAsiaTheme="minorEastAsia" w:hAnsiTheme="minorHAnsi"/>
          <w:sz w:val="22"/>
        </w:rPr>
        <w:t xml:space="preserve">for review in the </w:t>
      </w:r>
      <w:r w:rsidR="4D195AB4" w:rsidRPr="06C7AA2B">
        <w:rPr>
          <w:rFonts w:asciiTheme="minorHAnsi" w:eastAsiaTheme="minorEastAsia" w:hAnsiTheme="minorHAnsi"/>
          <w:sz w:val="22"/>
        </w:rPr>
        <w:t>U</w:t>
      </w:r>
      <w:r w:rsidR="4D195AB4" w:rsidRPr="4AC42944">
        <w:rPr>
          <w:rFonts w:asciiTheme="minorHAnsi" w:eastAsiaTheme="minorEastAsia" w:hAnsiTheme="minorHAnsi"/>
          <w:sz w:val="22"/>
        </w:rPr>
        <w:t xml:space="preserve">.S. Court of Appeals for </w:t>
      </w:r>
      <w:r w:rsidR="4D195AB4" w:rsidRPr="3F063F0F">
        <w:rPr>
          <w:rFonts w:asciiTheme="minorHAnsi" w:eastAsiaTheme="minorEastAsia" w:hAnsiTheme="minorHAnsi"/>
          <w:sz w:val="22"/>
        </w:rPr>
        <w:t>the D.C. Circuit</w:t>
      </w:r>
      <w:r w:rsidR="4D195AB4" w:rsidRPr="3F3CD620">
        <w:rPr>
          <w:rFonts w:asciiTheme="minorHAnsi" w:eastAsiaTheme="minorEastAsia" w:hAnsiTheme="minorHAnsi"/>
          <w:sz w:val="22"/>
        </w:rPr>
        <w:t xml:space="preserve"> and any petition for </w:t>
      </w:r>
      <w:r w:rsidR="4D195AB4" w:rsidRPr="4ED40BAD">
        <w:rPr>
          <w:rFonts w:asciiTheme="minorHAnsi" w:eastAsiaTheme="minorEastAsia" w:hAnsiTheme="minorHAnsi"/>
          <w:sz w:val="22"/>
        </w:rPr>
        <w:t xml:space="preserve">writ of </w:t>
      </w:r>
      <w:r w:rsidR="4D195AB4" w:rsidRPr="7EA9C784">
        <w:rPr>
          <w:rFonts w:asciiTheme="minorHAnsi" w:eastAsiaTheme="minorEastAsia" w:hAnsiTheme="minorHAnsi"/>
          <w:sz w:val="22"/>
        </w:rPr>
        <w:t xml:space="preserve">certiorari to the </w:t>
      </w:r>
      <w:r w:rsidR="4D195AB4" w:rsidRPr="1BCE11F8">
        <w:rPr>
          <w:rFonts w:asciiTheme="minorHAnsi" w:eastAsiaTheme="minorEastAsia" w:hAnsiTheme="minorHAnsi"/>
          <w:sz w:val="22"/>
        </w:rPr>
        <w:t>Su</w:t>
      </w:r>
      <w:r w:rsidR="0FD7AEB6" w:rsidRPr="1BCE11F8">
        <w:rPr>
          <w:rFonts w:asciiTheme="minorHAnsi" w:eastAsiaTheme="minorEastAsia" w:hAnsiTheme="minorHAnsi"/>
          <w:sz w:val="22"/>
        </w:rPr>
        <w:t xml:space="preserve">preme </w:t>
      </w:r>
      <w:r w:rsidR="0FD7AEB6" w:rsidRPr="0F3436AF">
        <w:rPr>
          <w:rFonts w:asciiTheme="minorHAnsi" w:eastAsiaTheme="minorEastAsia" w:hAnsiTheme="minorHAnsi"/>
          <w:sz w:val="22"/>
        </w:rPr>
        <w:t xml:space="preserve">Court on the </w:t>
      </w:r>
      <w:r w:rsidR="0FD7AEB6" w:rsidRPr="5261A98D">
        <w:rPr>
          <w:rFonts w:asciiTheme="minorHAnsi" w:eastAsiaTheme="minorEastAsia" w:hAnsiTheme="minorHAnsi"/>
          <w:sz w:val="22"/>
        </w:rPr>
        <w:t xml:space="preserve">merits. </w:t>
      </w:r>
    </w:p>
    <w:p w14:paraId="524EA1BB" w14:textId="3570C40A" w:rsidR="73136814" w:rsidRPr="009D5E6B" w:rsidRDefault="0FD7AEB6" w:rsidP="00AD09B4">
      <w:pPr>
        <w:pStyle w:val="ListParagraph"/>
        <w:numPr>
          <w:ilvl w:val="0"/>
          <w:numId w:val="12"/>
        </w:numPr>
        <w:spacing w:after="0" w:line="259" w:lineRule="auto"/>
        <w:rPr>
          <w:rFonts w:asciiTheme="minorHAnsi" w:eastAsiaTheme="minorEastAsia" w:hAnsiTheme="minorHAnsi"/>
        </w:rPr>
      </w:pPr>
      <w:r w:rsidRPr="72049F6B">
        <w:rPr>
          <w:rFonts w:asciiTheme="minorHAnsi" w:eastAsiaTheme="minorEastAsia" w:hAnsiTheme="minorHAnsi"/>
          <w:sz w:val="22"/>
        </w:rPr>
        <w:t>On August 5, 2024, EPA filed in the D.C. Circuit Court of Appeals a motion for partial voluntary remand of its Good Neighbor FIP to allow EPA to take “s</w:t>
      </w:r>
      <w:r w:rsidR="655334F3" w:rsidRPr="72049F6B">
        <w:rPr>
          <w:rFonts w:asciiTheme="minorHAnsi" w:eastAsiaTheme="minorEastAsia" w:hAnsiTheme="minorHAnsi"/>
          <w:sz w:val="22"/>
        </w:rPr>
        <w:t xml:space="preserve">upplemental final action” to address the “record deficiency” identified by the U.S. </w:t>
      </w:r>
      <w:r w:rsidR="7FF9B72F" w:rsidRPr="72049F6B">
        <w:rPr>
          <w:rFonts w:asciiTheme="minorHAnsi" w:eastAsiaTheme="minorEastAsia" w:hAnsiTheme="minorHAnsi"/>
          <w:sz w:val="22"/>
        </w:rPr>
        <w:t>Supreme</w:t>
      </w:r>
      <w:r w:rsidR="655334F3" w:rsidRPr="72049F6B">
        <w:rPr>
          <w:rFonts w:asciiTheme="minorHAnsi" w:eastAsiaTheme="minorEastAsia" w:hAnsiTheme="minorHAnsi"/>
          <w:sz w:val="22"/>
        </w:rPr>
        <w:t xml:space="preserve"> Court in its stay decision. </w:t>
      </w:r>
      <w:r w:rsidR="46D684DC" w:rsidRPr="72049F6B">
        <w:rPr>
          <w:rFonts w:asciiTheme="minorHAnsi" w:eastAsiaTheme="minorEastAsia" w:hAnsiTheme="minorHAnsi"/>
          <w:sz w:val="22"/>
        </w:rPr>
        <w:t>On September 12, 2024, the D.C. Circuit granted this motion, remanding the administrative record to EPA for further consideration of comments related to severability.</w:t>
      </w:r>
      <w:r w:rsidR="406217E4" w:rsidRPr="009D5E6B">
        <w:rPr>
          <w:rFonts w:asciiTheme="minorHAnsi" w:eastAsiaTheme="minorEastAsia" w:hAnsiTheme="minorHAnsi"/>
          <w:sz w:val="22"/>
        </w:rPr>
        <w:t xml:space="preserve"> </w:t>
      </w:r>
      <w:r w:rsidR="74CB9BFF" w:rsidRPr="009D5E6B">
        <w:rPr>
          <w:rFonts w:asciiTheme="minorHAnsi" w:eastAsiaTheme="minorEastAsia" w:hAnsiTheme="minorHAnsi"/>
          <w:sz w:val="22"/>
        </w:rPr>
        <w:t>On December 10, 2024, EPA published its supplemental response to comments on the Good Neighbor FIP, which addresses the administrative record deficiencies</w:t>
      </w:r>
      <w:r w:rsidR="424C0E78" w:rsidRPr="009D5E6B">
        <w:rPr>
          <w:rFonts w:asciiTheme="minorHAnsi" w:eastAsiaTheme="minorEastAsia" w:hAnsiTheme="minorHAnsi"/>
          <w:sz w:val="22"/>
        </w:rPr>
        <w:t xml:space="preserve"> identified by the U.S. Supreme Court</w:t>
      </w:r>
      <w:r w:rsidR="74CB9BFF" w:rsidRPr="009D5E6B">
        <w:rPr>
          <w:rFonts w:asciiTheme="minorHAnsi" w:eastAsiaTheme="minorEastAsia" w:hAnsiTheme="minorHAnsi"/>
          <w:sz w:val="22"/>
        </w:rPr>
        <w:t xml:space="preserve">. </w:t>
      </w:r>
      <w:r w:rsidR="00A1AA32" w:rsidRPr="009D5E6B">
        <w:rPr>
          <w:rFonts w:asciiTheme="minorHAnsi" w:eastAsiaTheme="minorEastAsia" w:hAnsiTheme="minorHAnsi"/>
          <w:sz w:val="22"/>
        </w:rPr>
        <w:t xml:space="preserve">The parties are required to submit motions to govern further proceedings by December 30, 2024, after which the court likely will schedule oral argument.   </w:t>
      </w:r>
    </w:p>
    <w:p w14:paraId="3159FC14" w14:textId="66F38903" w:rsidR="04FD7D61" w:rsidRPr="00533516" w:rsidRDefault="04FD7D61" w:rsidP="00AD09B4">
      <w:pPr>
        <w:pStyle w:val="ListParagraph"/>
        <w:numPr>
          <w:ilvl w:val="0"/>
          <w:numId w:val="12"/>
        </w:numPr>
        <w:spacing w:after="0" w:line="259" w:lineRule="auto"/>
        <w:rPr>
          <w:rFonts w:asciiTheme="minorHAnsi" w:eastAsiaTheme="minorEastAsia" w:hAnsiTheme="minorHAnsi"/>
          <w:sz w:val="22"/>
        </w:rPr>
      </w:pPr>
      <w:r w:rsidRPr="72049F6B">
        <w:rPr>
          <w:rFonts w:asciiTheme="minorHAnsi" w:eastAsiaTheme="minorEastAsia" w:hAnsiTheme="minorHAnsi"/>
          <w:sz w:val="22"/>
        </w:rPr>
        <w:t xml:space="preserve">On October 21, 2024, the U.S. Supreme Court issued an order granting review of a decision by the Tenth Circuit transferring challenges to EPA’s disapproval of interstate transport state implementation plans to the D.C. Circuit. </w:t>
      </w:r>
      <w:r w:rsidR="03191F24" w:rsidRPr="789CDA73">
        <w:rPr>
          <w:rFonts w:asciiTheme="minorHAnsi" w:eastAsiaTheme="minorEastAsia" w:hAnsiTheme="minorHAnsi"/>
          <w:sz w:val="22"/>
        </w:rPr>
        <w:t xml:space="preserve">Briefing </w:t>
      </w:r>
      <w:r w:rsidR="6D179469" w:rsidRPr="789CDA73">
        <w:rPr>
          <w:rFonts w:asciiTheme="minorHAnsi" w:eastAsiaTheme="minorEastAsia" w:hAnsiTheme="minorHAnsi"/>
          <w:sz w:val="22"/>
        </w:rPr>
        <w:t>at the Supreme Court i</w:t>
      </w:r>
      <w:r w:rsidR="03191F24" w:rsidRPr="789CDA73">
        <w:rPr>
          <w:rFonts w:asciiTheme="minorHAnsi" w:eastAsiaTheme="minorEastAsia" w:hAnsiTheme="minorHAnsi"/>
          <w:sz w:val="22"/>
        </w:rPr>
        <w:t>s set to begin on December 13, 202</w:t>
      </w:r>
      <w:r w:rsidR="5AF98C46" w:rsidRPr="789CDA73">
        <w:rPr>
          <w:rFonts w:asciiTheme="minorHAnsi" w:eastAsiaTheme="minorEastAsia" w:hAnsiTheme="minorHAnsi"/>
          <w:sz w:val="22"/>
        </w:rPr>
        <w:t>4</w:t>
      </w:r>
      <w:r w:rsidR="009D5E6B">
        <w:rPr>
          <w:rFonts w:asciiTheme="minorHAnsi" w:eastAsiaTheme="minorEastAsia" w:hAnsiTheme="minorHAnsi"/>
          <w:sz w:val="22"/>
        </w:rPr>
        <w:t>,</w:t>
      </w:r>
      <w:r w:rsidR="5AF98C46" w:rsidRPr="789CDA73">
        <w:rPr>
          <w:rFonts w:asciiTheme="minorHAnsi" w:eastAsiaTheme="minorEastAsia" w:hAnsiTheme="minorHAnsi"/>
          <w:sz w:val="22"/>
        </w:rPr>
        <w:t xml:space="preserve"> and</w:t>
      </w:r>
      <w:r w:rsidR="03191F24" w:rsidRPr="789CDA73">
        <w:rPr>
          <w:rFonts w:asciiTheme="minorHAnsi" w:eastAsiaTheme="minorEastAsia" w:hAnsiTheme="minorHAnsi"/>
          <w:sz w:val="22"/>
        </w:rPr>
        <w:t xml:space="preserve"> a decision is expected by June 2025. </w:t>
      </w:r>
      <w:r w:rsidRPr="72049F6B">
        <w:rPr>
          <w:rFonts w:asciiTheme="minorHAnsi" w:eastAsiaTheme="minorEastAsia" w:hAnsiTheme="minorHAnsi"/>
          <w:sz w:val="22"/>
        </w:rPr>
        <w:t xml:space="preserve">On October 24, 2024, the Eleventh Circuit placed the Alabama SIP disapproval case in abeyance pending the U.S. </w:t>
      </w:r>
      <w:r w:rsidRPr="72049F6B">
        <w:rPr>
          <w:rFonts w:asciiTheme="minorHAnsi" w:eastAsiaTheme="minorEastAsia" w:hAnsiTheme="minorHAnsi"/>
          <w:sz w:val="22"/>
        </w:rPr>
        <w:lastRenderedPageBreak/>
        <w:t>Supreme Court’s decision on the venue issue.</w:t>
      </w:r>
      <w:r w:rsidR="1CE022D3" w:rsidRPr="72049F6B">
        <w:rPr>
          <w:rFonts w:asciiTheme="minorHAnsi" w:eastAsiaTheme="minorEastAsia" w:hAnsiTheme="minorHAnsi"/>
          <w:sz w:val="22"/>
        </w:rPr>
        <w:t xml:space="preserve"> The Alabama SIP disapproval case is fully </w:t>
      </w:r>
      <w:proofErr w:type="gramStart"/>
      <w:r w:rsidR="1CE022D3" w:rsidRPr="72049F6B">
        <w:rPr>
          <w:rFonts w:asciiTheme="minorHAnsi" w:eastAsiaTheme="minorEastAsia" w:hAnsiTheme="minorHAnsi"/>
          <w:sz w:val="22"/>
        </w:rPr>
        <w:t>briefed</w:t>
      </w:r>
      <w:proofErr w:type="gramEnd"/>
      <w:r w:rsidR="1CE022D3" w:rsidRPr="72049F6B">
        <w:rPr>
          <w:rFonts w:asciiTheme="minorHAnsi" w:eastAsiaTheme="minorEastAsia" w:hAnsiTheme="minorHAnsi"/>
          <w:sz w:val="22"/>
        </w:rPr>
        <w:t xml:space="preserve"> and oral argument was held on September 24, 2024. </w:t>
      </w:r>
    </w:p>
    <w:p w14:paraId="24661CEF" w14:textId="205E3875" w:rsidR="00323CA1" w:rsidRPr="009857A2" w:rsidRDefault="003A74AD" w:rsidP="00AD09B4">
      <w:pPr>
        <w:pStyle w:val="ListParagraph"/>
        <w:numPr>
          <w:ilvl w:val="0"/>
          <w:numId w:val="12"/>
        </w:numPr>
        <w:spacing w:after="0" w:line="259" w:lineRule="auto"/>
        <w:rPr>
          <w:rFonts w:asciiTheme="minorHAnsi" w:eastAsiaTheme="minorEastAsia" w:hAnsiTheme="minorHAnsi"/>
          <w:sz w:val="22"/>
        </w:rPr>
      </w:pPr>
      <w:r w:rsidRPr="72049F6B">
        <w:rPr>
          <w:rFonts w:asciiTheme="minorHAnsi" w:eastAsiaTheme="minorEastAsia" w:hAnsiTheme="minorHAnsi"/>
          <w:sz w:val="22"/>
        </w:rPr>
        <w:t>Various c</w:t>
      </w:r>
      <w:r w:rsidR="0062334F" w:rsidRPr="72049F6B">
        <w:rPr>
          <w:rFonts w:asciiTheme="minorHAnsi" w:eastAsiaTheme="minorEastAsia" w:hAnsiTheme="minorHAnsi"/>
          <w:sz w:val="22"/>
        </w:rPr>
        <w:t xml:space="preserve">ourt proceedings related to the state </w:t>
      </w:r>
      <w:r w:rsidR="00323CA1" w:rsidRPr="72049F6B">
        <w:rPr>
          <w:rFonts w:asciiTheme="minorHAnsi" w:eastAsiaTheme="minorEastAsia" w:hAnsiTheme="minorHAnsi"/>
          <w:sz w:val="22"/>
        </w:rPr>
        <w:t xml:space="preserve">SIP </w:t>
      </w:r>
      <w:r w:rsidR="0062334F" w:rsidRPr="72049F6B">
        <w:rPr>
          <w:rFonts w:asciiTheme="minorHAnsi" w:eastAsiaTheme="minorEastAsia" w:hAnsiTheme="minorHAnsi"/>
          <w:sz w:val="22"/>
        </w:rPr>
        <w:t xml:space="preserve">disapprovals </w:t>
      </w:r>
      <w:r w:rsidR="00323CA1" w:rsidRPr="72049F6B">
        <w:rPr>
          <w:rFonts w:asciiTheme="minorHAnsi" w:eastAsiaTheme="minorEastAsia" w:hAnsiTheme="minorHAnsi"/>
          <w:sz w:val="22"/>
        </w:rPr>
        <w:t xml:space="preserve">and </w:t>
      </w:r>
      <w:r w:rsidR="0062334F" w:rsidRPr="72049F6B">
        <w:rPr>
          <w:rFonts w:asciiTheme="minorHAnsi" w:eastAsiaTheme="minorEastAsia" w:hAnsiTheme="minorHAnsi"/>
          <w:sz w:val="22"/>
        </w:rPr>
        <w:t xml:space="preserve">the </w:t>
      </w:r>
      <w:r w:rsidR="00323CA1" w:rsidRPr="72049F6B">
        <w:rPr>
          <w:rFonts w:asciiTheme="minorHAnsi" w:eastAsiaTheme="minorEastAsia" w:hAnsiTheme="minorHAnsi"/>
          <w:sz w:val="22"/>
        </w:rPr>
        <w:t xml:space="preserve">Good Neighbor </w:t>
      </w:r>
      <w:r w:rsidR="0062334F" w:rsidRPr="72049F6B">
        <w:rPr>
          <w:rFonts w:asciiTheme="minorHAnsi" w:eastAsiaTheme="minorEastAsia" w:hAnsiTheme="minorHAnsi"/>
          <w:sz w:val="22"/>
        </w:rPr>
        <w:t xml:space="preserve">Plan </w:t>
      </w:r>
      <w:r w:rsidR="00323CA1" w:rsidRPr="72049F6B">
        <w:rPr>
          <w:rFonts w:asciiTheme="minorHAnsi" w:eastAsiaTheme="minorEastAsia" w:hAnsiTheme="minorHAnsi"/>
          <w:sz w:val="22"/>
        </w:rPr>
        <w:t xml:space="preserve">litigation </w:t>
      </w:r>
      <w:r w:rsidR="00446C5A" w:rsidRPr="72049F6B">
        <w:rPr>
          <w:rFonts w:asciiTheme="minorHAnsi" w:eastAsiaTheme="minorEastAsia" w:hAnsiTheme="minorHAnsi"/>
          <w:sz w:val="22"/>
        </w:rPr>
        <w:t xml:space="preserve">are expected to proceed in </w:t>
      </w:r>
      <w:r w:rsidR="635A78B0" w:rsidRPr="72049F6B">
        <w:rPr>
          <w:rFonts w:asciiTheme="minorHAnsi" w:eastAsiaTheme="minorEastAsia" w:hAnsiTheme="minorHAnsi"/>
          <w:sz w:val="22"/>
        </w:rPr>
        <w:t>2025</w:t>
      </w:r>
      <w:r w:rsidR="00446C5A" w:rsidRPr="72049F6B">
        <w:rPr>
          <w:rFonts w:asciiTheme="minorHAnsi" w:eastAsiaTheme="minorEastAsia" w:hAnsiTheme="minorHAnsi"/>
          <w:sz w:val="22"/>
        </w:rPr>
        <w:t xml:space="preserve">. </w:t>
      </w:r>
      <w:r w:rsidR="2394C368" w:rsidRPr="72049F6B">
        <w:rPr>
          <w:rFonts w:asciiTheme="minorHAnsi" w:eastAsiaTheme="minorEastAsia" w:hAnsiTheme="minorHAnsi"/>
          <w:sz w:val="22"/>
        </w:rPr>
        <w:t xml:space="preserve">In the meantime, the judicial stays of the </w:t>
      </w:r>
      <w:r w:rsidR="1F5C2D2A" w:rsidRPr="72049F6B">
        <w:rPr>
          <w:rFonts w:asciiTheme="minorHAnsi" w:eastAsiaTheme="minorEastAsia" w:hAnsiTheme="minorHAnsi"/>
          <w:sz w:val="22"/>
        </w:rPr>
        <w:t xml:space="preserve">underlying </w:t>
      </w:r>
      <w:r w:rsidR="2394C368" w:rsidRPr="72049F6B">
        <w:rPr>
          <w:rFonts w:asciiTheme="minorHAnsi" w:eastAsiaTheme="minorEastAsia" w:hAnsiTheme="minorHAnsi"/>
          <w:sz w:val="22"/>
        </w:rPr>
        <w:t>SIP</w:t>
      </w:r>
      <w:r w:rsidR="54A715FD" w:rsidRPr="72049F6B">
        <w:rPr>
          <w:rFonts w:asciiTheme="minorHAnsi" w:eastAsiaTheme="minorEastAsia" w:hAnsiTheme="minorHAnsi"/>
          <w:sz w:val="22"/>
        </w:rPr>
        <w:t xml:space="preserve"> disapprovals</w:t>
      </w:r>
      <w:r w:rsidR="2394C368" w:rsidRPr="72049F6B">
        <w:rPr>
          <w:rFonts w:asciiTheme="minorHAnsi" w:eastAsiaTheme="minorEastAsia" w:hAnsiTheme="minorHAnsi"/>
          <w:sz w:val="22"/>
        </w:rPr>
        <w:t xml:space="preserve"> and Good Neighbor Plan will remain in place. </w:t>
      </w:r>
    </w:p>
    <w:p w14:paraId="37AECFB7" w14:textId="19F1CDC0" w:rsidR="00CA448C" w:rsidRPr="00442755" w:rsidRDefault="00013D7B" w:rsidP="00554143">
      <w:pPr>
        <w:pStyle w:val="Heading4"/>
      </w:pPr>
      <w:r w:rsidRPr="00442755">
        <w:t>2.3.2.1</w:t>
      </w:r>
      <w:r w:rsidRPr="00442755">
        <w:tab/>
      </w:r>
      <w:r w:rsidR="00B243E6" w:rsidRPr="00442755">
        <w:t xml:space="preserve">NOx and </w:t>
      </w:r>
      <w:r w:rsidR="00B243E6" w:rsidRPr="00DB7156">
        <w:t>SO</w:t>
      </w:r>
      <w:r w:rsidR="00B243E6" w:rsidRPr="00DB7156">
        <w:rPr>
          <w:vertAlign w:val="subscript"/>
        </w:rPr>
        <w:t>2</w:t>
      </w:r>
      <w:r w:rsidR="00B243E6" w:rsidRPr="00442755">
        <w:t xml:space="preserve"> Emissions Allowance Programs Compliance Strategy</w:t>
      </w:r>
    </w:p>
    <w:p w14:paraId="486367F0" w14:textId="69A8413B" w:rsidR="00CA448C" w:rsidRPr="00DB7156" w:rsidRDefault="00CA448C" w:rsidP="008105BD">
      <w:pPr>
        <w:rPr>
          <w:color w:val="000080"/>
          <w:u w:val="single"/>
        </w:rPr>
      </w:pPr>
      <w:r w:rsidRPr="0D3382F5">
        <w:t xml:space="preserve">Georgia Power’s </w:t>
      </w:r>
      <w:r>
        <w:t xml:space="preserve">Acid Rain Program </w:t>
      </w:r>
      <w:r w:rsidRPr="0D3382F5">
        <w:t>compliance strategy</w:t>
      </w:r>
      <w:r>
        <w:t xml:space="preserve"> initially</w:t>
      </w:r>
      <w:r w:rsidRPr="0D3382F5">
        <w:t xml:space="preserve"> relied heavily upon use of low-sulfur coal. However, the strategy </w:t>
      </w:r>
      <w:r>
        <w:t xml:space="preserve">transitioned to </w:t>
      </w:r>
      <w:r w:rsidRPr="0D3382F5">
        <w:t>rel</w:t>
      </w:r>
      <w:r>
        <w:t>y</w:t>
      </w:r>
      <w:r w:rsidRPr="0D3382F5">
        <w:t xml:space="preserve"> on </w:t>
      </w:r>
      <w:r w:rsidR="003540B1">
        <w:t>scrubbers</w:t>
      </w:r>
      <w:r w:rsidRPr="0D3382F5">
        <w:t xml:space="preserve"> for SO</w:t>
      </w:r>
      <w:r w:rsidRPr="0D3382F5">
        <w:rPr>
          <w:vertAlign w:val="subscript"/>
        </w:rPr>
        <w:t>2</w:t>
      </w:r>
      <w:r w:rsidRPr="0D3382F5">
        <w:t xml:space="preserve"> control</w:t>
      </w:r>
      <w:r>
        <w:t xml:space="preserve"> at coal-fired steam units and through firing natural gas and low sulfur content fuel oil at combined-cycle, combustion turbine, and other steam units, which also serves as the CSAPR SO</w:t>
      </w:r>
      <w:r w:rsidRPr="00581C39">
        <w:rPr>
          <w:vertAlign w:val="subscript"/>
        </w:rPr>
        <w:t>2</w:t>
      </w:r>
      <w:r>
        <w:t xml:space="preserve"> compliance strategy</w:t>
      </w:r>
      <w:r w:rsidRPr="0D3382F5">
        <w:t>.</w:t>
      </w:r>
      <w:r w:rsidR="007C14B7">
        <w:t xml:space="preserve"> </w:t>
      </w:r>
      <w:r w:rsidRPr="0D3382F5">
        <w:t xml:space="preserve">For purposes of </w:t>
      </w:r>
      <w:r>
        <w:t xml:space="preserve">both </w:t>
      </w:r>
      <w:r w:rsidRPr="0D3382F5">
        <w:t xml:space="preserve">Acid Rain </w:t>
      </w:r>
      <w:r>
        <w:t xml:space="preserve">and CSAPR </w:t>
      </w:r>
      <w:r w:rsidRPr="0D3382F5">
        <w:t xml:space="preserve">compliance, Georgia Power currently expects </w:t>
      </w:r>
      <w:r w:rsidRPr="009E265B">
        <w:t xml:space="preserve">to continue to utilize its </w:t>
      </w:r>
      <w:r>
        <w:t>SO</w:t>
      </w:r>
      <w:r w:rsidRPr="00581C39">
        <w:rPr>
          <w:vertAlign w:val="subscript"/>
        </w:rPr>
        <w:t>2</w:t>
      </w:r>
      <w:r>
        <w:t xml:space="preserve"> </w:t>
      </w:r>
      <w:r w:rsidRPr="009E265B">
        <w:t>annual allowance allocations and banked allowances, as needed, to maintain compliance.</w:t>
      </w:r>
      <w:r w:rsidR="007C14B7">
        <w:t xml:space="preserve"> </w:t>
      </w:r>
      <w:r w:rsidRPr="0D3382F5">
        <w:t>Under current regulations for the Acid Rain Program</w:t>
      </w:r>
      <w:r>
        <w:t xml:space="preserve"> and CSAPR</w:t>
      </w:r>
      <w:r w:rsidRPr="0D3382F5">
        <w:t xml:space="preserve">, projections show that </w:t>
      </w:r>
      <w:r w:rsidRPr="009E265B">
        <w:t xml:space="preserve">no </w:t>
      </w:r>
      <w:r>
        <w:t>Georgia Power</w:t>
      </w:r>
      <w:r w:rsidRPr="009E265B">
        <w:t xml:space="preserve"> allowance purchases will be required in the future absent a change in legislation and regulation.</w:t>
      </w:r>
    </w:p>
    <w:p w14:paraId="28972E77" w14:textId="790DDFF7" w:rsidR="00CA448C" w:rsidRDefault="00CA448C" w:rsidP="008105BD">
      <w:bookmarkStart w:id="56" w:name="_Hlk29812769"/>
      <w:r w:rsidRPr="00DB7156">
        <w:t xml:space="preserve">The Georgia Power compliance strategy for </w:t>
      </w:r>
      <w:r>
        <w:t xml:space="preserve">the </w:t>
      </w:r>
      <w:r w:rsidRPr="00DB7156">
        <w:t xml:space="preserve">Acid Rain </w:t>
      </w:r>
      <w:r>
        <w:t xml:space="preserve">Program for </w:t>
      </w:r>
      <w:r w:rsidR="00442755" w:rsidRPr="00442755">
        <w:t>NO</w:t>
      </w:r>
      <w:r w:rsidR="00442755">
        <w:t>x</w:t>
      </w:r>
      <w:r>
        <w:t xml:space="preserve"> </w:t>
      </w:r>
      <w:r w:rsidRPr="00DB7156">
        <w:t>historically consisted of installing low-</w:t>
      </w:r>
      <w:r w:rsidR="00442755" w:rsidRPr="00442755">
        <w:t>NO</w:t>
      </w:r>
      <w:r w:rsidR="00442755">
        <w:t>x</w:t>
      </w:r>
      <w:r w:rsidRPr="00DB7156">
        <w:t xml:space="preserve"> burners</w:t>
      </w:r>
      <w:r>
        <w:t xml:space="preserve"> and/or</w:t>
      </w:r>
      <w:r w:rsidRPr="00DB7156">
        <w:t xml:space="preserve"> </w:t>
      </w:r>
      <w:r>
        <w:t>overfire air (“</w:t>
      </w:r>
      <w:r w:rsidRPr="00DB7156">
        <w:t>OFA</w:t>
      </w:r>
      <w:r>
        <w:t>”)</w:t>
      </w:r>
      <w:r w:rsidRPr="00DB7156">
        <w:t xml:space="preserve"> systems</w:t>
      </w:r>
      <w:r>
        <w:t xml:space="preserve"> at coal units and use of the </w:t>
      </w:r>
      <w:r w:rsidR="00442755" w:rsidRPr="00442755">
        <w:t>NO</w:t>
      </w:r>
      <w:r w:rsidR="00442755">
        <w:t>x</w:t>
      </w:r>
      <w:r w:rsidR="00FD3BBE" w:rsidRPr="00DB7156" w:rsidDel="00FD3BBE">
        <w:t xml:space="preserve"> </w:t>
      </w:r>
      <w:r w:rsidRPr="00DB7156">
        <w:t>Averaging Plan</w:t>
      </w:r>
      <w:r>
        <w:t xml:space="preserve"> across the Southern Company coal generation fleet</w:t>
      </w:r>
      <w:r w:rsidRPr="00DB7156">
        <w:t>.</w:t>
      </w:r>
      <w:r w:rsidR="007C14B7">
        <w:t xml:space="preserve"> </w:t>
      </w:r>
      <w:r>
        <w:t xml:space="preserve">However, after the retirement of all remaining coal units without SCR in 2019, use of the </w:t>
      </w:r>
      <w:r w:rsidR="00442755" w:rsidRPr="00442755">
        <w:t>NO</w:t>
      </w:r>
      <w:r w:rsidR="00442755">
        <w:t>x</w:t>
      </w:r>
      <w:r w:rsidR="00FD3BBE" w:rsidDel="00FD3BBE">
        <w:t xml:space="preserve"> </w:t>
      </w:r>
      <w:r>
        <w:t>Averaging Plan was no longer necessary.</w:t>
      </w:r>
      <w:r w:rsidR="007C14B7">
        <w:t xml:space="preserve"> </w:t>
      </w:r>
      <w:r>
        <w:t xml:space="preserve">Therefore, in September of 2019, the Company </w:t>
      </w:r>
      <w:r w:rsidRPr="00774695">
        <w:t xml:space="preserve">terminated the </w:t>
      </w:r>
      <w:r w:rsidR="00442755" w:rsidRPr="00442755">
        <w:t>NO</w:t>
      </w:r>
      <w:r w:rsidR="00442755">
        <w:t>x</w:t>
      </w:r>
      <w:r w:rsidR="00FD3BBE" w:rsidRPr="00774695" w:rsidDel="00FD3BBE">
        <w:t xml:space="preserve"> </w:t>
      </w:r>
      <w:r w:rsidRPr="00774695">
        <w:t xml:space="preserve">Averaging Plan </w:t>
      </w:r>
      <w:r>
        <w:t>effective January 1, 2020</w:t>
      </w:r>
      <w:r w:rsidRPr="00774695">
        <w:t>.</w:t>
      </w:r>
      <w:r w:rsidR="007C14B7">
        <w:t xml:space="preserve"> </w:t>
      </w:r>
      <w:r w:rsidRPr="00774695">
        <w:t xml:space="preserve">Affected units covered by the regulation </w:t>
      </w:r>
      <w:r>
        <w:t xml:space="preserve">now </w:t>
      </w:r>
      <w:r w:rsidRPr="00774695">
        <w:t xml:space="preserve">demonstrate </w:t>
      </w:r>
      <w:r>
        <w:t xml:space="preserve">ongoing </w:t>
      </w:r>
      <w:r w:rsidRPr="00774695">
        <w:t>compliance through individual Acid Rain Program limits.</w:t>
      </w:r>
      <w:bookmarkEnd w:id="56"/>
    </w:p>
    <w:p w14:paraId="4ADE619F" w14:textId="6D85747B" w:rsidR="00CA448C" w:rsidRPr="00957B8B" w:rsidRDefault="00CA448C" w:rsidP="008105BD">
      <w:pPr>
        <w:rPr>
          <w:rFonts w:cs="Arial"/>
          <w:b/>
          <w:bCs/>
          <w:sz w:val="20"/>
          <w:szCs w:val="20"/>
        </w:rPr>
      </w:pPr>
      <w:r w:rsidRPr="4315A18C">
        <w:rPr>
          <w:rFonts w:cs="Arial"/>
        </w:rPr>
        <w:t xml:space="preserve">The compliance strategy for the CSAPR </w:t>
      </w:r>
      <w:r w:rsidR="00442755" w:rsidRPr="00442755">
        <w:t>NO</w:t>
      </w:r>
      <w:r w:rsidR="00442755">
        <w:t>x</w:t>
      </w:r>
      <w:r w:rsidRPr="4315A18C">
        <w:rPr>
          <w:rFonts w:cs="Arial"/>
        </w:rPr>
        <w:t xml:space="preserve"> programs </w:t>
      </w:r>
      <w:r w:rsidRPr="4074181C">
        <w:rPr>
          <w:rFonts w:cs="Arial"/>
        </w:rPr>
        <w:t>rel</w:t>
      </w:r>
      <w:r w:rsidR="2956160F" w:rsidRPr="4074181C">
        <w:rPr>
          <w:rFonts w:cs="Arial"/>
        </w:rPr>
        <w:t>ies</w:t>
      </w:r>
      <w:r w:rsidRPr="4315A18C">
        <w:rPr>
          <w:rFonts w:cs="Arial"/>
        </w:rPr>
        <w:t xml:space="preserve"> on SCRs and low </w:t>
      </w:r>
      <w:r w:rsidR="00442755" w:rsidRPr="00442755">
        <w:t>NO</w:t>
      </w:r>
      <w:r w:rsidR="00442755">
        <w:t>x</w:t>
      </w:r>
      <w:r w:rsidRPr="4315A18C">
        <w:rPr>
          <w:rFonts w:cs="Arial"/>
        </w:rPr>
        <w:t xml:space="preserve"> burners for </w:t>
      </w:r>
      <w:r w:rsidR="00442755" w:rsidRPr="00442755">
        <w:t>NO</w:t>
      </w:r>
      <w:r w:rsidR="00442755">
        <w:t>x</w:t>
      </w:r>
      <w:r w:rsidRPr="4315A18C">
        <w:rPr>
          <w:rFonts w:cs="Arial"/>
        </w:rPr>
        <w:t xml:space="preserve"> control.</w:t>
      </w:r>
      <w:r w:rsidR="007C14B7">
        <w:rPr>
          <w:rFonts w:cs="Arial"/>
        </w:rPr>
        <w:t xml:space="preserve"> </w:t>
      </w:r>
      <w:r w:rsidRPr="4315A18C">
        <w:rPr>
          <w:rFonts w:cs="Arial"/>
        </w:rPr>
        <w:t xml:space="preserve">For purposes of CSAPR </w:t>
      </w:r>
      <w:r w:rsidR="002628B6" w:rsidRPr="00442755">
        <w:t>NO</w:t>
      </w:r>
      <w:r w:rsidR="002628B6">
        <w:t>x</w:t>
      </w:r>
      <w:r w:rsidRPr="4315A18C">
        <w:rPr>
          <w:rFonts w:cs="Arial"/>
        </w:rPr>
        <w:t xml:space="preserve"> compliance, Georgia Power currently expects to continue to utilize its annual and ozone season allowance allocations and banked allowances, if needed, to maintain compliance.</w:t>
      </w:r>
      <w:r w:rsidR="007C14B7">
        <w:rPr>
          <w:rFonts w:cs="Arial"/>
        </w:rPr>
        <w:t xml:space="preserve"> </w:t>
      </w:r>
      <w:r w:rsidRPr="4315A18C">
        <w:rPr>
          <w:rFonts w:cs="Arial"/>
        </w:rPr>
        <w:t xml:space="preserve">Under current regulations for the CSAPR </w:t>
      </w:r>
      <w:r w:rsidR="002628B6" w:rsidRPr="00442755">
        <w:t>NO</w:t>
      </w:r>
      <w:r w:rsidR="002628B6">
        <w:t>x</w:t>
      </w:r>
      <w:r w:rsidRPr="4315A18C">
        <w:rPr>
          <w:rFonts w:cs="Arial"/>
        </w:rPr>
        <w:t xml:space="preserve"> trading programs, projections show that no Georgia Power allowance purchases </w:t>
      </w:r>
      <w:r w:rsidRPr="009E265B">
        <w:rPr>
          <w:rFonts w:cs="Arial"/>
        </w:rPr>
        <w:t xml:space="preserve">will be required in the future absent a change in </w:t>
      </w:r>
      <w:r>
        <w:rPr>
          <w:rFonts w:cs="Arial"/>
        </w:rPr>
        <w:t>CSAPR</w:t>
      </w:r>
      <w:r w:rsidRPr="009E265B">
        <w:rPr>
          <w:rFonts w:cs="Arial"/>
        </w:rPr>
        <w:t xml:space="preserve"> legislation and regulation</w:t>
      </w:r>
      <w:r>
        <w:rPr>
          <w:rFonts w:cs="Arial"/>
        </w:rPr>
        <w:t xml:space="preserve">. </w:t>
      </w:r>
      <w:r w:rsidR="004007D8">
        <w:rPr>
          <w:rFonts w:cs="Arial"/>
        </w:rPr>
        <w:t xml:space="preserve">The Company is </w:t>
      </w:r>
      <w:r w:rsidR="005C27A5">
        <w:rPr>
          <w:rFonts w:cs="Arial"/>
        </w:rPr>
        <w:t xml:space="preserve">monitoring the litigation related to </w:t>
      </w:r>
      <w:r w:rsidR="004007D8">
        <w:rPr>
          <w:rFonts w:cs="Arial"/>
        </w:rPr>
        <w:t xml:space="preserve">the final Good Neighbor Plan. </w:t>
      </w:r>
      <w:r w:rsidR="005C27A5">
        <w:rPr>
          <w:rFonts w:cs="Arial"/>
        </w:rPr>
        <w:t xml:space="preserve">If the new requirements come into effect, </w:t>
      </w:r>
      <w:r>
        <w:rPr>
          <w:rFonts w:cs="Arial"/>
        </w:rPr>
        <w:t xml:space="preserve">Plant Gaston </w:t>
      </w:r>
      <w:r w:rsidR="00EC63F2">
        <w:rPr>
          <w:rFonts w:cs="Arial"/>
        </w:rPr>
        <w:t xml:space="preserve">Units 1-4 </w:t>
      </w:r>
      <w:r w:rsidR="004007D8">
        <w:rPr>
          <w:rFonts w:cs="Arial"/>
        </w:rPr>
        <w:t xml:space="preserve">will receive fewer allowances from EPA and </w:t>
      </w:r>
      <w:r>
        <w:rPr>
          <w:rFonts w:cs="Arial"/>
        </w:rPr>
        <w:t xml:space="preserve">may need to </w:t>
      </w:r>
      <w:r w:rsidR="00912DB0">
        <w:rPr>
          <w:rFonts w:cs="Arial"/>
        </w:rPr>
        <w:t>manage</w:t>
      </w:r>
      <w:r>
        <w:rPr>
          <w:rFonts w:cs="Arial"/>
        </w:rPr>
        <w:t xml:space="preserve"> its ozone season </w:t>
      </w:r>
      <w:r w:rsidR="002628B6" w:rsidRPr="00442755">
        <w:t>NO</w:t>
      </w:r>
      <w:r w:rsidR="002628B6">
        <w:t>x</w:t>
      </w:r>
      <w:r>
        <w:rPr>
          <w:rFonts w:cs="Arial"/>
        </w:rPr>
        <w:t xml:space="preserve"> emissions</w:t>
      </w:r>
      <w:r w:rsidR="008356F1">
        <w:rPr>
          <w:rFonts w:cs="Arial"/>
        </w:rPr>
        <w:t>, use banked allowances,</w:t>
      </w:r>
      <w:r>
        <w:rPr>
          <w:rFonts w:cs="Arial"/>
        </w:rPr>
        <w:t xml:space="preserve"> or may need to purchase allowances.</w:t>
      </w:r>
    </w:p>
    <w:p w14:paraId="5053FB29" w14:textId="25BA2B54" w:rsidR="00CA448C" w:rsidRPr="008105BD" w:rsidRDefault="00CA448C" w:rsidP="009D5E6B">
      <w:pPr>
        <w:pStyle w:val="Heading3"/>
      </w:pPr>
      <w:bookmarkStart w:id="57" w:name="_Toc130201010"/>
      <w:bookmarkStart w:id="58" w:name="_Toc188252325"/>
      <w:r w:rsidRPr="00345E09">
        <w:t>2.</w:t>
      </w:r>
      <w:r w:rsidR="00C92C1D" w:rsidRPr="008105BD">
        <w:t>3</w:t>
      </w:r>
      <w:r w:rsidRPr="008105BD">
        <w:t>.3 Maximum Achievable Control Technology Regulations</w:t>
      </w:r>
      <w:bookmarkEnd w:id="57"/>
      <w:bookmarkEnd w:id="58"/>
    </w:p>
    <w:p w14:paraId="40D72B09" w14:textId="201E0AE3" w:rsidR="00CA448C" w:rsidRDefault="00D46153" w:rsidP="008105BD">
      <w:r>
        <w:t>T</w:t>
      </w:r>
      <w:r w:rsidR="00CA448C" w:rsidRPr="00DB7156">
        <w:t>he CAA requires regulation of listed Hazardous Air Pollutants (</w:t>
      </w:r>
      <w:r w:rsidR="00CA448C">
        <w:t>“</w:t>
      </w:r>
      <w:r w:rsidR="00CA448C" w:rsidRPr="00DB7156">
        <w:t>HAPs</w:t>
      </w:r>
      <w:r w:rsidR="00CA448C">
        <w:t>”</w:t>
      </w:r>
      <w:r w:rsidR="00CA448C" w:rsidRPr="00DB7156">
        <w:t xml:space="preserve">) and requires implementation of emission limits equivalent to the </w:t>
      </w:r>
      <w:r w:rsidR="00CA448C">
        <w:t>Maximum Achievable Control Technology (“</w:t>
      </w:r>
      <w:r w:rsidR="00CA448C" w:rsidRPr="00DB7156">
        <w:t>MACT</w:t>
      </w:r>
      <w:r w:rsidR="00CA448C">
        <w:t>”)</w:t>
      </w:r>
      <w:r w:rsidR="00CA448C" w:rsidRPr="00DB7156">
        <w:t xml:space="preserve"> for specific source categories, as determined by EPA. </w:t>
      </w:r>
      <w:r w:rsidR="00CA448C">
        <w:t xml:space="preserve">The standards that may apply to power generation units typically include MATS, </w:t>
      </w:r>
      <w:r w:rsidR="00897E93">
        <w:t>the Combustion Turbine</w:t>
      </w:r>
      <w:r w:rsidR="00CA448C">
        <w:t xml:space="preserve"> MACT</w:t>
      </w:r>
      <w:r w:rsidR="00897E93">
        <w:t xml:space="preserve"> (“CT MACT”)</w:t>
      </w:r>
      <w:r w:rsidR="00CA448C">
        <w:t xml:space="preserve">, and </w:t>
      </w:r>
      <w:r w:rsidR="00897E93">
        <w:t xml:space="preserve">the </w:t>
      </w:r>
      <w:r w:rsidR="00CA448C">
        <w:t xml:space="preserve">Industrial Boiler MACT. Georgia Power owns and operates </w:t>
      </w:r>
      <w:r w:rsidR="00973EF1">
        <w:t>EGUs</w:t>
      </w:r>
      <w:r w:rsidR="00CA448C">
        <w:t xml:space="preserve"> that are subject to MATS and CT MACT, but currently does not own biomass-fired </w:t>
      </w:r>
      <w:r w:rsidR="00973EF1">
        <w:t>EGUs</w:t>
      </w:r>
      <w:r w:rsidR="00CA448C">
        <w:t xml:space="preserve"> that would be subject to the Industrial Boiler MACT.</w:t>
      </w:r>
    </w:p>
    <w:p w14:paraId="199ADBA1" w14:textId="77777777" w:rsidR="00CA448C" w:rsidRPr="00161484" w:rsidRDefault="00CA448C" w:rsidP="00060673">
      <w:pPr>
        <w:pStyle w:val="Smallheading3notoc"/>
      </w:pPr>
      <w:r w:rsidRPr="00060673">
        <w:rPr>
          <w:color w:val="2F5496" w:themeColor="accent1" w:themeShade="BF"/>
        </w:rPr>
        <w:lastRenderedPageBreak/>
        <w:t>MATS (40 CFR 63 Subpart UUUUU)</w:t>
      </w:r>
    </w:p>
    <w:p w14:paraId="64E85D6B" w14:textId="4EAC5C5E" w:rsidR="00CA448C" w:rsidRPr="00DB7156" w:rsidRDefault="00CA448C" w:rsidP="008105BD">
      <w:r>
        <w:rPr>
          <w:bCs/>
        </w:rPr>
        <w:t xml:space="preserve">EPA’s </w:t>
      </w:r>
      <w:r w:rsidRPr="00DB7156">
        <w:t xml:space="preserve">MATS </w:t>
      </w:r>
      <w:r>
        <w:t>R</w:t>
      </w:r>
      <w:r w:rsidRPr="00DB7156">
        <w:t xml:space="preserve">ule, finalized in April 2012, </w:t>
      </w:r>
      <w:r w:rsidRPr="00DB7156">
        <w:rPr>
          <w:bCs/>
        </w:rPr>
        <w:t>is a technology-based</w:t>
      </w:r>
      <w:r>
        <w:rPr>
          <w:bCs/>
        </w:rPr>
        <w:t xml:space="preserve"> rule that</w:t>
      </w:r>
      <w:r w:rsidRPr="00DB7156">
        <w:t xml:space="preserve"> regulates mercury, acid gases and certain metal emissions from coal- and oil-fired </w:t>
      </w:r>
      <w:r w:rsidR="009431CD">
        <w:t>EGU</w:t>
      </w:r>
      <w:r>
        <w:t>s</w:t>
      </w:r>
      <w:r w:rsidRPr="00DB7156">
        <w:t>. MATS establishes stringent emission limits for hazardous air pollutants</w:t>
      </w:r>
      <w:r>
        <w:t xml:space="preserve"> in the form of mercury, hydrogen chlorine (“HCl”) or SO</w:t>
      </w:r>
      <w:r w:rsidRPr="0079444E">
        <w:rPr>
          <w:vertAlign w:val="subscript"/>
        </w:rPr>
        <w:t>2</w:t>
      </w:r>
      <w:r>
        <w:t>, and filterable particulate matter</w:t>
      </w:r>
      <w:r w:rsidR="008056CB">
        <w:t xml:space="preserve"> (“</w:t>
      </w:r>
      <w:proofErr w:type="spellStart"/>
      <w:r w:rsidR="008056CB">
        <w:t>fPM</w:t>
      </w:r>
      <w:proofErr w:type="spellEnd"/>
      <w:r w:rsidR="008056CB">
        <w:t>”)</w:t>
      </w:r>
      <w:r>
        <w:t xml:space="preserve"> or metals</w:t>
      </w:r>
      <w:r w:rsidRPr="00DB7156">
        <w:t xml:space="preserve">. </w:t>
      </w:r>
      <w:r>
        <w:t xml:space="preserve">The </w:t>
      </w:r>
      <w:r w:rsidRPr="00DB7156">
        <w:t xml:space="preserve">compliance deadline for existing sources </w:t>
      </w:r>
      <w:r>
        <w:t>was</w:t>
      </w:r>
      <w:r w:rsidRPr="00DB7156">
        <w:t xml:space="preserve"> April 16, 2015</w:t>
      </w:r>
      <w:r>
        <w:t>, with the possibility of extensions granted on a case-by-case basis. Various Georgia Power units were granted one-year extension</w:t>
      </w:r>
      <w:r w:rsidR="00DB502F">
        <w:t>s</w:t>
      </w:r>
      <w:r>
        <w:t xml:space="preserve"> to install controls or complete necessary transmission work to comply</w:t>
      </w:r>
      <w:r w:rsidR="00DB502F">
        <w:t>.</w:t>
      </w:r>
      <w:r>
        <w:t xml:space="preserve"> </w:t>
      </w:r>
    </w:p>
    <w:p w14:paraId="4154B8F9" w14:textId="0D011F12" w:rsidR="00CA448C" w:rsidRPr="00680AB0" w:rsidRDefault="00CA448C" w:rsidP="008105BD">
      <w:r>
        <w:t>As a result of legal challenges and court decisions, EPA continued to issue rulemaking</w:t>
      </w:r>
      <w:r w:rsidR="009A36AB">
        <w:t>s</w:t>
      </w:r>
      <w:r>
        <w:t xml:space="preserve"> related to the MATS rule even after the compliance dates had passed. Some of the </w:t>
      </w:r>
      <w:proofErr w:type="gramStart"/>
      <w:r>
        <w:t>MATS</w:t>
      </w:r>
      <w:proofErr w:type="gramEnd"/>
      <w:r>
        <w:t xml:space="preserve"> rulemakings considered the foundational legal basis of the MATS rule. Although rules in 2016 (“Supplemental Finding”) and 2020 (“Reconsideration of Supplemental Finding”) came to diverging conclusions on that legal basis, EPA ultimately decided to leave the standards in place in both cases. As a part of the 2020 rulemaking, EPA also finalized the </w:t>
      </w:r>
      <w:r w:rsidRPr="009A05A8">
        <w:t>Residual Risk and Technology Review (“RTR”)</w:t>
      </w:r>
      <w:r>
        <w:t xml:space="preserve"> for the MATS rule, which is required by the Clean Air Act Amendments </w:t>
      </w:r>
      <w:r w:rsidR="00C24B27">
        <w:t xml:space="preserve">of 1990 </w:t>
      </w:r>
      <w:r>
        <w:t>on a periodic basis</w:t>
      </w:r>
      <w:r>
        <w:rPr>
          <w:i/>
          <w:iCs/>
        </w:rPr>
        <w:t>.</w:t>
      </w:r>
      <w:r w:rsidRPr="00326C04">
        <w:t xml:space="preserve"> </w:t>
      </w:r>
      <w:r w:rsidRPr="00680AB0">
        <w:t xml:space="preserve">EPA concluded in the RTR that the remaining risk </w:t>
      </w:r>
      <w:r w:rsidRPr="2B377831">
        <w:t xml:space="preserve">did </w:t>
      </w:r>
      <w:r w:rsidRPr="00680AB0">
        <w:t>not warrant additional standards</w:t>
      </w:r>
      <w:r w:rsidR="5B0801EC">
        <w:t>,</w:t>
      </w:r>
      <w:r w:rsidRPr="00680AB0">
        <w:t xml:space="preserve"> and a technology review did not identify any new control technologies that would further reduce emissions beyond the original standard.</w:t>
      </w:r>
      <w:r>
        <w:t xml:space="preserve"> This rule was challenged in the D.C. Circuit Court and was subsequently included in the list of regulations the Biden Administration directed EPA to review via executive order in 2021.</w:t>
      </w:r>
    </w:p>
    <w:p w14:paraId="5A6ED278" w14:textId="1AF048A9" w:rsidR="00837B6C" w:rsidRPr="009F1644" w:rsidRDefault="00C56C7A" w:rsidP="008105BD">
      <w:r>
        <w:t>B</w:t>
      </w:r>
      <w:r w:rsidR="00CA448C">
        <w:t xml:space="preserve">oth the 2016 and 2020 rulemakings </w:t>
      </w:r>
      <w:r w:rsidR="00897E93">
        <w:t xml:space="preserve">were </w:t>
      </w:r>
      <w:r>
        <w:t>challenged</w:t>
      </w:r>
      <w:r w:rsidR="00897E93">
        <w:t xml:space="preserve"> </w:t>
      </w:r>
      <w:r>
        <w:t xml:space="preserve">by various parties at </w:t>
      </w:r>
      <w:r w:rsidR="00CA448C">
        <w:t xml:space="preserve">the D.C. Circuit Court, with Georgia Power a party to the 2016 litigation. However, all related litigation was put on hold pending EPA’s completion of its rule reviews. </w:t>
      </w:r>
      <w:r w:rsidR="009F1644">
        <w:t>I</w:t>
      </w:r>
      <w:r w:rsidR="00837B6C" w:rsidRPr="009F1644">
        <w:t xml:space="preserve">n February </w:t>
      </w:r>
      <w:r w:rsidR="009F1644">
        <w:t>2</w:t>
      </w:r>
      <w:r w:rsidR="00837B6C" w:rsidRPr="009F1644">
        <w:t>022, EPA proposed to revoke the Reconsideration of Supplemental Finding that was finalized in 2020, effectively reverting to the 2016 Supplemental Finding for the legal basis of the MATS rule.</w:t>
      </w:r>
    </w:p>
    <w:p w14:paraId="3C315CB4" w14:textId="30F3FFD0" w:rsidR="04D0E2F7" w:rsidRDefault="04D0E2F7" w:rsidP="008105BD">
      <w:r w:rsidRPr="322C2331">
        <w:t xml:space="preserve">On March 6, 2023, EPA finalized the revocation of the Reconsideration of Supplemental Finding but made no changes to the emission standards or compliance requirements in the MATS rule. </w:t>
      </w:r>
    </w:p>
    <w:p w14:paraId="6B5BC55B" w14:textId="65241407" w:rsidR="04D0E2F7" w:rsidRDefault="04D0E2F7" w:rsidP="008105BD">
      <w:r w:rsidRPr="322C2331">
        <w:t xml:space="preserve">On April 24, 2023, EPA proposed to update the MATS requirements with the MATS Residual Risk and Technology Review rule. </w:t>
      </w:r>
    </w:p>
    <w:p w14:paraId="03127387" w14:textId="28A2B4DA" w:rsidR="04D0E2F7" w:rsidRDefault="04D0E2F7" w:rsidP="008105BD">
      <w:r w:rsidRPr="322C2331">
        <w:t>On July 7, 2023, the D.C. Circuit Court agreed to voluntarily dismiss litigation related to both the 2016 and 2020 rulemakings at the request of all parties involved in the cases.</w:t>
      </w:r>
    </w:p>
    <w:p w14:paraId="6C6669A3" w14:textId="002B52A4" w:rsidR="00B312D5" w:rsidRPr="00060673" w:rsidRDefault="00CA448C" w:rsidP="00060673">
      <w:pPr>
        <w:pStyle w:val="Smallheading3notoc"/>
        <w:rPr>
          <w:i/>
        </w:rPr>
      </w:pPr>
      <w:r w:rsidRPr="00060673">
        <w:rPr>
          <w:i/>
        </w:rPr>
        <w:t>New Regulatory Updates</w:t>
      </w:r>
    </w:p>
    <w:p w14:paraId="7238E6A0" w14:textId="70A727C8" w:rsidR="009127B8" w:rsidRDefault="36C98AD9" w:rsidP="00AD09B4">
      <w:pPr>
        <w:pStyle w:val="ListParagraph"/>
        <w:numPr>
          <w:ilvl w:val="0"/>
          <w:numId w:val="11"/>
        </w:numPr>
        <w:spacing w:after="0" w:line="259" w:lineRule="auto"/>
        <w:rPr>
          <w:rFonts w:asciiTheme="minorHAnsi" w:eastAsiaTheme="minorEastAsia" w:hAnsiTheme="minorHAnsi"/>
          <w:sz w:val="22"/>
        </w:rPr>
      </w:pPr>
      <w:r w:rsidRPr="322C2331">
        <w:rPr>
          <w:rFonts w:asciiTheme="minorHAnsi" w:eastAsiaTheme="minorEastAsia" w:hAnsiTheme="minorHAnsi"/>
          <w:sz w:val="22"/>
        </w:rPr>
        <w:t>On May 7, 2024, EPA published the final MATS RTR. This rule affects coal</w:t>
      </w:r>
      <w:r w:rsidR="00A76CD7">
        <w:rPr>
          <w:rFonts w:asciiTheme="minorHAnsi" w:eastAsiaTheme="minorEastAsia" w:hAnsiTheme="minorHAnsi"/>
          <w:sz w:val="22"/>
        </w:rPr>
        <w:t>-</w:t>
      </w:r>
      <w:r w:rsidRPr="322C2331">
        <w:rPr>
          <w:rFonts w:asciiTheme="minorHAnsi" w:eastAsiaTheme="minorEastAsia" w:hAnsiTheme="minorHAnsi"/>
          <w:sz w:val="22"/>
        </w:rPr>
        <w:t xml:space="preserve"> and oil-fired </w:t>
      </w:r>
      <w:r w:rsidR="0E38BABA" w:rsidRPr="322C2331">
        <w:rPr>
          <w:rFonts w:asciiTheme="minorHAnsi" w:eastAsiaTheme="minorEastAsia" w:hAnsiTheme="minorHAnsi"/>
          <w:sz w:val="22"/>
        </w:rPr>
        <w:t>steam</w:t>
      </w:r>
      <w:r w:rsidRPr="322C2331">
        <w:rPr>
          <w:rFonts w:asciiTheme="minorHAnsi" w:eastAsiaTheme="minorEastAsia" w:hAnsiTheme="minorHAnsi"/>
          <w:sz w:val="22"/>
        </w:rPr>
        <w:t xml:space="preserve"> </w:t>
      </w:r>
      <w:r w:rsidR="00BF6D70">
        <w:rPr>
          <w:rFonts w:asciiTheme="minorHAnsi" w:eastAsiaTheme="minorEastAsia" w:hAnsiTheme="minorHAnsi"/>
          <w:sz w:val="22"/>
        </w:rPr>
        <w:t>EGUs</w:t>
      </w:r>
      <w:r w:rsidRPr="322C2331">
        <w:rPr>
          <w:rFonts w:asciiTheme="minorHAnsi" w:eastAsiaTheme="minorEastAsia" w:hAnsiTheme="minorHAnsi"/>
          <w:sz w:val="22"/>
        </w:rPr>
        <w:t xml:space="preserve"> (does not include CTs</w:t>
      </w:r>
      <w:r w:rsidR="0055626A">
        <w:rPr>
          <w:rFonts w:asciiTheme="minorHAnsi" w:eastAsiaTheme="minorEastAsia" w:hAnsiTheme="minorHAnsi"/>
          <w:sz w:val="22"/>
        </w:rPr>
        <w:t xml:space="preserve"> or </w:t>
      </w:r>
      <w:r w:rsidR="2246F8C3" w:rsidRPr="322C2331">
        <w:rPr>
          <w:rFonts w:asciiTheme="minorHAnsi" w:eastAsiaTheme="minorEastAsia" w:hAnsiTheme="minorHAnsi"/>
          <w:sz w:val="22"/>
        </w:rPr>
        <w:t xml:space="preserve">CCs). </w:t>
      </w:r>
      <w:r w:rsidR="003458DD" w:rsidRPr="003458DD">
        <w:rPr>
          <w:rFonts w:asciiTheme="minorHAnsi" w:eastAsiaTheme="minorEastAsia" w:hAnsiTheme="minorHAnsi"/>
          <w:sz w:val="22"/>
        </w:rPr>
        <w:t xml:space="preserve">EPA is finalizing a more stringent standard for emissions of </w:t>
      </w:r>
      <w:proofErr w:type="spellStart"/>
      <w:r w:rsidR="003458DD" w:rsidRPr="003458DD">
        <w:rPr>
          <w:rFonts w:asciiTheme="minorHAnsi" w:eastAsiaTheme="minorEastAsia" w:hAnsiTheme="minorHAnsi"/>
          <w:sz w:val="22"/>
        </w:rPr>
        <w:t>fPM</w:t>
      </w:r>
      <w:proofErr w:type="spellEnd"/>
      <w:r w:rsidR="003458DD" w:rsidRPr="003458DD">
        <w:rPr>
          <w:rFonts w:asciiTheme="minorHAnsi" w:eastAsiaTheme="minorEastAsia" w:hAnsiTheme="minorHAnsi"/>
          <w:sz w:val="22"/>
        </w:rPr>
        <w:t>, lowering the standard from 0.030 lb/MMBtu to 0.010 lb/MMBtu</w:t>
      </w:r>
      <w:r w:rsidR="001D0FC5">
        <w:rPr>
          <w:rFonts w:asciiTheme="minorHAnsi" w:eastAsiaTheme="minorEastAsia" w:hAnsiTheme="minorHAnsi"/>
          <w:sz w:val="22"/>
        </w:rPr>
        <w:t>,</w:t>
      </w:r>
      <w:r w:rsidR="00A32FCB">
        <w:rPr>
          <w:rFonts w:asciiTheme="minorHAnsi" w:eastAsiaTheme="minorEastAsia" w:hAnsiTheme="minorHAnsi"/>
          <w:sz w:val="22"/>
        </w:rPr>
        <w:t xml:space="preserve"> and </w:t>
      </w:r>
      <w:r w:rsidR="00661F84" w:rsidRPr="00661F84">
        <w:rPr>
          <w:rFonts w:asciiTheme="minorHAnsi" w:eastAsiaTheme="minorEastAsia" w:hAnsiTheme="minorHAnsi"/>
          <w:sz w:val="22"/>
        </w:rPr>
        <w:t xml:space="preserve">will require the use of PM CEMS to demonstrate compliance with the new </w:t>
      </w:r>
      <w:proofErr w:type="spellStart"/>
      <w:r w:rsidR="00661F84" w:rsidRPr="00661F84">
        <w:rPr>
          <w:rFonts w:asciiTheme="minorHAnsi" w:eastAsiaTheme="minorEastAsia" w:hAnsiTheme="minorHAnsi"/>
          <w:sz w:val="22"/>
        </w:rPr>
        <w:t>fPM</w:t>
      </w:r>
      <w:proofErr w:type="spellEnd"/>
      <w:r w:rsidR="00661F84" w:rsidRPr="00661F84">
        <w:rPr>
          <w:rFonts w:asciiTheme="minorHAnsi" w:eastAsiaTheme="minorEastAsia" w:hAnsiTheme="minorHAnsi"/>
          <w:sz w:val="22"/>
        </w:rPr>
        <w:t xml:space="preserve"> emission standard. The compliance deadline for the new CEMS requirements is </w:t>
      </w:r>
      <w:r w:rsidR="0034078B">
        <w:rPr>
          <w:rFonts w:asciiTheme="minorHAnsi" w:eastAsiaTheme="minorEastAsia" w:hAnsiTheme="minorHAnsi"/>
          <w:sz w:val="22"/>
        </w:rPr>
        <w:t>three</w:t>
      </w:r>
      <w:r w:rsidR="0034078B" w:rsidRPr="00661F84">
        <w:rPr>
          <w:rFonts w:asciiTheme="minorHAnsi" w:eastAsiaTheme="minorEastAsia" w:hAnsiTheme="minorHAnsi"/>
          <w:sz w:val="22"/>
        </w:rPr>
        <w:t xml:space="preserve"> </w:t>
      </w:r>
      <w:r w:rsidR="00661F84" w:rsidRPr="00661F84">
        <w:rPr>
          <w:rFonts w:asciiTheme="minorHAnsi" w:eastAsiaTheme="minorEastAsia" w:hAnsiTheme="minorHAnsi"/>
          <w:sz w:val="22"/>
        </w:rPr>
        <w:t>years after the rule effective date</w:t>
      </w:r>
      <w:r w:rsidR="00875F13">
        <w:rPr>
          <w:rFonts w:asciiTheme="minorHAnsi" w:eastAsiaTheme="minorEastAsia" w:hAnsiTheme="minorHAnsi"/>
          <w:sz w:val="22"/>
        </w:rPr>
        <w:t xml:space="preserve">, or July </w:t>
      </w:r>
      <w:r w:rsidR="006A54B3">
        <w:rPr>
          <w:rFonts w:asciiTheme="minorHAnsi" w:eastAsiaTheme="minorEastAsia" w:hAnsiTheme="minorHAnsi"/>
          <w:sz w:val="22"/>
        </w:rPr>
        <w:t>6</w:t>
      </w:r>
      <w:r w:rsidR="003A7503">
        <w:rPr>
          <w:rFonts w:asciiTheme="minorHAnsi" w:eastAsiaTheme="minorEastAsia" w:hAnsiTheme="minorHAnsi"/>
          <w:sz w:val="22"/>
        </w:rPr>
        <w:t xml:space="preserve">, </w:t>
      </w:r>
      <w:r w:rsidR="00875F13">
        <w:rPr>
          <w:rFonts w:asciiTheme="minorHAnsi" w:eastAsiaTheme="minorEastAsia" w:hAnsiTheme="minorHAnsi"/>
          <w:sz w:val="22"/>
        </w:rPr>
        <w:t>202</w:t>
      </w:r>
      <w:r w:rsidR="006854BE">
        <w:rPr>
          <w:rFonts w:asciiTheme="minorHAnsi" w:eastAsiaTheme="minorEastAsia" w:hAnsiTheme="minorHAnsi"/>
          <w:sz w:val="22"/>
        </w:rPr>
        <w:t>7</w:t>
      </w:r>
      <w:r w:rsidR="00E83D92">
        <w:rPr>
          <w:rFonts w:asciiTheme="minorHAnsi" w:eastAsiaTheme="minorEastAsia" w:hAnsiTheme="minorHAnsi"/>
          <w:sz w:val="22"/>
        </w:rPr>
        <w:t>.</w:t>
      </w:r>
    </w:p>
    <w:p w14:paraId="5DC5E75C" w14:textId="1281D654" w:rsidR="36C98AD9" w:rsidRPr="006321CF" w:rsidDel="00557F4C" w:rsidRDefault="17707B20" w:rsidP="008105BD">
      <w:pPr>
        <w:pStyle w:val="ListParagraph"/>
        <w:numPr>
          <w:ilvl w:val="0"/>
          <w:numId w:val="11"/>
        </w:numPr>
        <w:spacing w:after="0" w:line="259" w:lineRule="auto"/>
        <w:rPr>
          <w:rFonts w:asciiTheme="minorHAnsi" w:eastAsiaTheme="minorEastAsia" w:hAnsiTheme="minorHAnsi"/>
          <w:sz w:val="22"/>
        </w:rPr>
      </w:pPr>
      <w:r w:rsidRPr="006321CF">
        <w:rPr>
          <w:rFonts w:asciiTheme="minorHAnsi" w:eastAsiaTheme="minorEastAsia" w:hAnsiTheme="minorHAnsi"/>
          <w:sz w:val="22"/>
        </w:rPr>
        <w:lastRenderedPageBreak/>
        <w:t xml:space="preserve">Immediately after the MATs rule was published, industry groups, electric generators, and a 23-state coalition (including Georgia) filed a challenge to the MATS Rule in the U.S. Court of Appeals for the D.C. Circuit. </w:t>
      </w:r>
    </w:p>
    <w:p w14:paraId="6812977C" w14:textId="1FA1672C" w:rsidR="00C375E4" w:rsidRPr="009576D7" w:rsidRDefault="240AE2A4" w:rsidP="008105BD">
      <w:pPr>
        <w:pStyle w:val="ListParagraph"/>
        <w:numPr>
          <w:ilvl w:val="0"/>
          <w:numId w:val="11"/>
        </w:numPr>
        <w:spacing w:after="0" w:line="259" w:lineRule="auto"/>
        <w:rPr>
          <w:rFonts w:asciiTheme="minorHAnsi" w:eastAsiaTheme="minorEastAsia" w:hAnsiTheme="minorHAnsi"/>
          <w:sz w:val="22"/>
        </w:rPr>
      </w:pPr>
      <w:r w:rsidRPr="0B4F018D">
        <w:rPr>
          <w:rFonts w:asciiTheme="minorHAnsi" w:eastAsiaTheme="minorEastAsia" w:hAnsiTheme="minorHAnsi"/>
          <w:sz w:val="22"/>
        </w:rPr>
        <w:t>Seven motions</w:t>
      </w:r>
      <w:r w:rsidR="04287510" w:rsidRPr="00B808EE">
        <w:rPr>
          <w:rFonts w:asciiTheme="minorHAnsi" w:eastAsiaTheme="minorEastAsia" w:hAnsiTheme="minorHAnsi"/>
          <w:sz w:val="22"/>
        </w:rPr>
        <w:t xml:space="preserve"> to stay </w:t>
      </w:r>
      <w:r w:rsidR="2E34FAD2" w:rsidRPr="66587CC6">
        <w:rPr>
          <w:rFonts w:asciiTheme="minorHAnsi" w:eastAsiaTheme="minorEastAsia" w:hAnsiTheme="minorHAnsi"/>
          <w:sz w:val="22"/>
        </w:rPr>
        <w:t>the rule were filed by petitioners, including the coalition of states</w:t>
      </w:r>
      <w:r w:rsidR="04287510" w:rsidRPr="00B808EE">
        <w:rPr>
          <w:rFonts w:asciiTheme="minorHAnsi" w:eastAsiaTheme="minorEastAsia" w:hAnsiTheme="minorHAnsi"/>
          <w:sz w:val="22"/>
        </w:rPr>
        <w:t xml:space="preserve">. </w:t>
      </w:r>
      <w:r w:rsidR="00B9D7BF" w:rsidRPr="00B808EE">
        <w:rPr>
          <w:rFonts w:asciiTheme="minorHAnsi" w:eastAsiaTheme="minorEastAsia" w:hAnsiTheme="minorHAnsi"/>
          <w:sz w:val="22"/>
        </w:rPr>
        <w:t>On August 6, 2024, the U.S. Court of Appeals for the D.C. Circuit denied motions to stay</w:t>
      </w:r>
      <w:r w:rsidR="58FA6D5A" w:rsidRPr="00B808EE">
        <w:rPr>
          <w:rFonts w:asciiTheme="minorHAnsi" w:eastAsiaTheme="minorEastAsia" w:hAnsiTheme="minorHAnsi"/>
          <w:sz w:val="22"/>
        </w:rPr>
        <w:t xml:space="preserve">. After the D.C. Circuit denied the stay motions, the seven groups of </w:t>
      </w:r>
      <w:r w:rsidR="15F54C16" w:rsidRPr="6848FE6D">
        <w:rPr>
          <w:rFonts w:asciiTheme="minorHAnsi" w:eastAsiaTheme="minorEastAsia" w:hAnsiTheme="minorHAnsi"/>
          <w:sz w:val="22"/>
        </w:rPr>
        <w:t>pe</w:t>
      </w:r>
      <w:r w:rsidR="6BF317CB" w:rsidRPr="6848FE6D">
        <w:rPr>
          <w:rFonts w:asciiTheme="minorHAnsi" w:eastAsiaTheme="minorEastAsia" w:hAnsiTheme="minorHAnsi"/>
          <w:sz w:val="22"/>
        </w:rPr>
        <w:t>ti</w:t>
      </w:r>
      <w:r w:rsidR="15F54C16" w:rsidRPr="6848FE6D">
        <w:rPr>
          <w:rFonts w:asciiTheme="minorHAnsi" w:eastAsiaTheme="minorEastAsia" w:hAnsiTheme="minorHAnsi"/>
          <w:sz w:val="22"/>
        </w:rPr>
        <w:t>tioners</w:t>
      </w:r>
      <w:r w:rsidR="58FA6D5A" w:rsidRPr="00B808EE">
        <w:rPr>
          <w:rFonts w:asciiTheme="minorHAnsi" w:eastAsiaTheme="minorEastAsia" w:hAnsiTheme="minorHAnsi"/>
          <w:sz w:val="22"/>
        </w:rPr>
        <w:t xml:space="preserve"> subsequently f</w:t>
      </w:r>
      <w:r w:rsidR="5C19D5EB" w:rsidRPr="00B808EE">
        <w:rPr>
          <w:rFonts w:asciiTheme="minorHAnsi" w:eastAsiaTheme="minorEastAsia" w:hAnsiTheme="minorHAnsi"/>
          <w:sz w:val="22"/>
        </w:rPr>
        <w:t xml:space="preserve">iled emergency stay applications with the U.S. Supreme Court. </w:t>
      </w:r>
      <w:r w:rsidR="5C19D5EB" w:rsidRPr="009576D7">
        <w:rPr>
          <w:rFonts w:asciiTheme="minorHAnsi" w:eastAsiaTheme="minorEastAsia" w:hAnsiTheme="minorHAnsi"/>
          <w:sz w:val="22"/>
        </w:rPr>
        <w:t xml:space="preserve">On October 4, 2024, the U.S. Supreme Court denied </w:t>
      </w:r>
      <w:r w:rsidR="00BF6735" w:rsidRPr="009576D7">
        <w:rPr>
          <w:rFonts w:asciiTheme="minorHAnsi" w:eastAsiaTheme="minorEastAsia" w:hAnsiTheme="minorHAnsi"/>
          <w:sz w:val="22"/>
        </w:rPr>
        <w:t xml:space="preserve">the </w:t>
      </w:r>
      <w:r w:rsidR="5C19D5EB" w:rsidRPr="009576D7">
        <w:rPr>
          <w:rFonts w:asciiTheme="minorHAnsi" w:eastAsiaTheme="minorEastAsia" w:hAnsiTheme="minorHAnsi"/>
          <w:sz w:val="22"/>
        </w:rPr>
        <w:t xml:space="preserve">emergency </w:t>
      </w:r>
      <w:r w:rsidR="00BF6735" w:rsidRPr="009576D7">
        <w:rPr>
          <w:rFonts w:asciiTheme="minorHAnsi" w:eastAsiaTheme="minorEastAsia" w:hAnsiTheme="minorHAnsi"/>
          <w:sz w:val="22"/>
        </w:rPr>
        <w:t>stay</w:t>
      </w:r>
      <w:r w:rsidR="5C19D5EB" w:rsidRPr="009576D7">
        <w:rPr>
          <w:rFonts w:asciiTheme="minorHAnsi" w:eastAsiaTheme="minorEastAsia" w:hAnsiTheme="minorHAnsi"/>
          <w:sz w:val="22"/>
        </w:rPr>
        <w:t xml:space="preserve"> applications</w:t>
      </w:r>
      <w:r w:rsidR="30363B87" w:rsidRPr="009576D7">
        <w:rPr>
          <w:rFonts w:asciiTheme="minorHAnsi" w:eastAsiaTheme="minorEastAsia" w:hAnsiTheme="minorHAnsi"/>
          <w:sz w:val="22"/>
        </w:rPr>
        <w:t xml:space="preserve">. </w:t>
      </w:r>
      <w:r w:rsidR="5DDDAD44" w:rsidRPr="00986180">
        <w:rPr>
          <w:rFonts w:asciiTheme="minorHAnsi" w:eastAsiaTheme="minorEastAsia" w:hAnsiTheme="minorHAnsi"/>
          <w:sz w:val="22"/>
        </w:rPr>
        <w:t>The Final Rule will remain in effect pending resolution of the ongoing challenges in the D.C. Circuit.</w:t>
      </w:r>
      <w:r w:rsidR="007C14B7">
        <w:rPr>
          <w:rFonts w:asciiTheme="minorHAnsi" w:eastAsiaTheme="minorEastAsia" w:hAnsiTheme="minorHAnsi"/>
          <w:sz w:val="22"/>
        </w:rPr>
        <w:t xml:space="preserve"> </w:t>
      </w:r>
      <w:r w:rsidR="2E906F91" w:rsidRPr="4197E446">
        <w:rPr>
          <w:rFonts w:asciiTheme="minorHAnsi" w:eastAsiaTheme="minorEastAsia" w:hAnsiTheme="minorHAnsi"/>
          <w:sz w:val="22"/>
        </w:rPr>
        <w:t xml:space="preserve">Briefing in these challenges </w:t>
      </w:r>
      <w:r w:rsidR="00DD744A">
        <w:rPr>
          <w:rFonts w:asciiTheme="minorHAnsi" w:eastAsiaTheme="minorEastAsia" w:hAnsiTheme="minorHAnsi"/>
          <w:sz w:val="22"/>
        </w:rPr>
        <w:t>concluded</w:t>
      </w:r>
      <w:r w:rsidR="2E906F91" w:rsidRPr="4197E446">
        <w:rPr>
          <w:rFonts w:asciiTheme="minorHAnsi" w:eastAsiaTheme="minorEastAsia" w:hAnsiTheme="minorHAnsi"/>
          <w:sz w:val="22"/>
        </w:rPr>
        <w:t xml:space="preserve"> on November 26, 2024, with oral argument likely to occur in early 2025.</w:t>
      </w:r>
    </w:p>
    <w:p w14:paraId="2F82886F" w14:textId="77777777" w:rsidR="00CA448C" w:rsidRPr="00FC6194" w:rsidRDefault="00CA448C" w:rsidP="00060673">
      <w:pPr>
        <w:pStyle w:val="Smallheading3notoc"/>
      </w:pPr>
      <w:r w:rsidRPr="00060673">
        <w:rPr>
          <w:color w:val="2F5496" w:themeColor="accent1" w:themeShade="BF"/>
        </w:rPr>
        <w:t>Combustion Turbine Maximum Achievable Control Technology (40 CFR 63 Subpart YYYY)</w:t>
      </w:r>
    </w:p>
    <w:p w14:paraId="3DB8DC99" w14:textId="6019BC13" w:rsidR="00CA448C" w:rsidRPr="00D75FD4" w:rsidRDefault="00CA448C" w:rsidP="008105BD">
      <w:pPr>
        <w:rPr>
          <w:bCs/>
        </w:rPr>
      </w:pPr>
      <w:r w:rsidRPr="00DB7156">
        <w:t>Simple</w:t>
      </w:r>
      <w:r w:rsidR="00D342DD">
        <w:t xml:space="preserve"> </w:t>
      </w:r>
      <w:r w:rsidRPr="00DB7156">
        <w:t>cycle and combined</w:t>
      </w:r>
      <w:r w:rsidR="009E0B98">
        <w:t xml:space="preserve"> </w:t>
      </w:r>
      <w:r w:rsidRPr="00DB7156">
        <w:t xml:space="preserve">cycle </w:t>
      </w:r>
      <w:r w:rsidR="00212A95">
        <w:t>CTs</w:t>
      </w:r>
      <w:r w:rsidRPr="00DB7156">
        <w:t xml:space="preserve"> can </w:t>
      </w:r>
      <w:r>
        <w:t>also</w:t>
      </w:r>
      <w:r w:rsidRPr="00DB7156">
        <w:t xml:space="preserve"> be subject to </w:t>
      </w:r>
      <w:r>
        <w:t xml:space="preserve">HAPs emission standards and </w:t>
      </w:r>
      <w:r w:rsidRPr="00DB7156">
        <w:t>requirements</w:t>
      </w:r>
      <w:r>
        <w:t>.</w:t>
      </w:r>
      <w:r w:rsidR="007C14B7">
        <w:t xml:space="preserve"> </w:t>
      </w:r>
      <w:r w:rsidRPr="76E8101A">
        <w:t>In March 2004</w:t>
      </w:r>
      <w:r w:rsidRPr="3A1EBFD3">
        <w:t>,</w:t>
      </w:r>
      <w:r w:rsidRPr="76E8101A">
        <w:t xml:space="preserve"> EPA issued a final </w:t>
      </w:r>
      <w:r w:rsidR="00C56C7A">
        <w:t xml:space="preserve">CT MACT </w:t>
      </w:r>
      <w:r w:rsidRPr="76E8101A">
        <w:t>rule</w:t>
      </w:r>
      <w:r w:rsidRPr="7749C5D3">
        <w:t>,</w:t>
      </w:r>
      <w:r w:rsidRPr="76E8101A">
        <w:t xml:space="preserve"> </w:t>
      </w:r>
      <w:r w:rsidRPr="3A1EBFD3">
        <w:t xml:space="preserve">setting standards for </w:t>
      </w:r>
      <w:r w:rsidRPr="612A07B5">
        <w:t xml:space="preserve">formaldehyde from </w:t>
      </w:r>
      <w:r>
        <w:t xml:space="preserve">new </w:t>
      </w:r>
      <w:r w:rsidRPr="612A07B5">
        <w:t xml:space="preserve">gas and oil-fired </w:t>
      </w:r>
      <w:r w:rsidR="00670ED7">
        <w:t>CTs</w:t>
      </w:r>
      <w:r w:rsidRPr="612A07B5">
        <w:t xml:space="preserve">. </w:t>
      </w:r>
      <w:r w:rsidRPr="27EF851A">
        <w:t>In August 2004</w:t>
      </w:r>
      <w:r w:rsidRPr="3A1EBFD3">
        <w:t>,</w:t>
      </w:r>
      <w:r w:rsidRPr="27EF851A">
        <w:t xml:space="preserve"> EPA issued a stay for new sources </w:t>
      </w:r>
      <w:r w:rsidRPr="334244A3">
        <w:t>for</w:t>
      </w:r>
      <w:r w:rsidRPr="27EF851A">
        <w:t xml:space="preserve"> </w:t>
      </w:r>
      <w:r w:rsidRPr="3A1EBFD3">
        <w:t xml:space="preserve">gas-fired turbine </w:t>
      </w:r>
      <w:r w:rsidRPr="27EF851A">
        <w:t>subcategories of the rule</w:t>
      </w:r>
      <w:r>
        <w:t xml:space="preserve"> because of ongoing deliberation about whether gas-fired units should be regulated by this rule in the first place</w:t>
      </w:r>
      <w:r w:rsidRPr="27EF851A">
        <w:t xml:space="preserve">. EPA </w:t>
      </w:r>
      <w:r w:rsidR="00667239">
        <w:t xml:space="preserve">took </w:t>
      </w:r>
      <w:r w:rsidRPr="27EF851A">
        <w:t xml:space="preserve">this action to avoid unwarranted expenditures on the installation of emission controls if these </w:t>
      </w:r>
      <w:r w:rsidRPr="3A1EBFD3">
        <w:t xml:space="preserve">gas-fired </w:t>
      </w:r>
      <w:r w:rsidRPr="27EF851A">
        <w:t>subcategories were delisted.</w:t>
      </w:r>
    </w:p>
    <w:p w14:paraId="77F3A97D" w14:textId="4B8B29ED" w:rsidR="00CA448C" w:rsidRDefault="00CA448C" w:rsidP="008105BD">
      <w:r w:rsidRPr="00764E94">
        <w:t xml:space="preserve">In </w:t>
      </w:r>
      <w:r>
        <w:t>March 2020</w:t>
      </w:r>
      <w:r w:rsidRPr="00764E94">
        <w:t xml:space="preserve">, EPA </w:t>
      </w:r>
      <w:r>
        <w:t xml:space="preserve">finalized the RTR for </w:t>
      </w:r>
      <w:r w:rsidR="00121326">
        <w:t>CTs</w:t>
      </w:r>
      <w:r>
        <w:t xml:space="preserve">, leaving the existing CT MACT standards largely unchanged. In the final rule, </w:t>
      </w:r>
      <w:r w:rsidRPr="004435C5">
        <w:t>EPA determin</w:t>
      </w:r>
      <w:r>
        <w:t>ed</w:t>
      </w:r>
      <w:r w:rsidRPr="004435C5">
        <w:t xml:space="preserve"> that the risks from this source category </w:t>
      </w:r>
      <w:r w:rsidRPr="0F2889DC">
        <w:t>of</w:t>
      </w:r>
      <w:r w:rsidRPr="004435C5">
        <w:t xml:space="preserve"> emissions are acceptable and that the existing </w:t>
      </w:r>
      <w:r w:rsidR="0034078B" w:rsidRPr="00EE03EE">
        <w:rPr>
          <w:rStyle w:val="normaltextrun"/>
          <w:rFonts w:ascii="Calibri" w:hAnsi="Calibri" w:cs="Calibri"/>
          <w:color w:val="000000"/>
          <w:bdr w:val="none" w:sz="0" w:space="0" w:color="auto" w:frame="1"/>
        </w:rPr>
        <w:t>National Emission Standards for Hazardous Air Pollutants</w:t>
      </w:r>
      <w:r w:rsidRPr="004435C5">
        <w:t xml:space="preserve"> </w:t>
      </w:r>
      <w:r w:rsidR="0034078B">
        <w:t>(“</w:t>
      </w:r>
      <w:r w:rsidRPr="004435C5">
        <w:t>NESHAP</w:t>
      </w:r>
      <w:r w:rsidR="0034078B">
        <w:t>”)</w:t>
      </w:r>
      <w:r w:rsidRPr="004435C5">
        <w:t xml:space="preserve"> provides an ample margin of safety to protect public health. EPA also determin</w:t>
      </w:r>
      <w:r>
        <w:t>ed</w:t>
      </w:r>
      <w:r w:rsidRPr="004435C5">
        <w:t xml:space="preserve"> that </w:t>
      </w:r>
      <w:r>
        <w:t>no</w:t>
      </w:r>
      <w:r w:rsidRPr="004435C5">
        <w:t xml:space="preserve"> new cost-effective controls under the technology review would achieve further emissions reductions from the source category.</w:t>
      </w:r>
      <w:r>
        <w:t xml:space="preserve"> With the RTR, </w:t>
      </w:r>
      <w:r w:rsidRPr="004435C5">
        <w:t>the stay of the standards for new gas-fired turbines remain</w:t>
      </w:r>
      <w:r>
        <w:t>ed</w:t>
      </w:r>
      <w:r w:rsidRPr="004435C5">
        <w:t xml:space="preserve"> in place.</w:t>
      </w:r>
    </w:p>
    <w:p w14:paraId="5E60D0DE" w14:textId="34D44D21" w:rsidR="005A0EC3" w:rsidRDefault="00CA448C" w:rsidP="008105BD">
      <w:r>
        <w:t>In</w:t>
      </w:r>
      <w:r w:rsidRPr="612D8CB3">
        <w:t xml:space="preserve"> August </w:t>
      </w:r>
      <w:r>
        <w:t>2020</w:t>
      </w:r>
      <w:r w:rsidRPr="2B377831">
        <w:t>, EPA</w:t>
      </w:r>
      <w:r w:rsidRPr="612D8CB3">
        <w:t xml:space="preserve"> </w:t>
      </w:r>
      <w:r w:rsidRPr="2B377831">
        <w:t xml:space="preserve">granted </w:t>
      </w:r>
      <w:r w:rsidRPr="612D8CB3">
        <w:t xml:space="preserve">a petition for reconsideration of the final </w:t>
      </w:r>
      <w:r>
        <w:t>CT MACT RTR, stating that it intend</w:t>
      </w:r>
      <w:r w:rsidR="00C56C7A">
        <w:t>ed</w:t>
      </w:r>
      <w:r>
        <w:t xml:space="preserve"> </w:t>
      </w:r>
      <w:r w:rsidRPr="612D8CB3">
        <w:t xml:space="preserve">to address the stay of the emission standards </w:t>
      </w:r>
      <w:r>
        <w:t>for new gas-fired turbines</w:t>
      </w:r>
      <w:r w:rsidRPr="612D8CB3">
        <w:t xml:space="preserve"> and the lack of standards for certain </w:t>
      </w:r>
      <w:r>
        <w:t>HAPs not currently covered by the rule</w:t>
      </w:r>
      <w:r w:rsidRPr="612D8CB3">
        <w:t>.</w:t>
      </w:r>
      <w:r w:rsidR="0086078A">
        <w:t xml:space="preserve"> In M</w:t>
      </w:r>
      <w:r w:rsidR="00C942D2" w:rsidRPr="0086078A">
        <w:t xml:space="preserve">arch 2022, EPA lifted the stay on CT MACT standards and requirements for </w:t>
      </w:r>
      <w:r w:rsidR="00215C28">
        <w:t>CTs</w:t>
      </w:r>
      <w:r w:rsidR="00C942D2" w:rsidRPr="0086078A">
        <w:t xml:space="preserve"> that began construction after the 2003 applicability date defined in the original rule. Although the stay had been in place since 2004, sources were subject to the rule immediately, which set requirements to comply with formaldehyde emission standards and other requirements.</w:t>
      </w:r>
      <w:r w:rsidR="008F4F9B">
        <w:t xml:space="preserve"> </w:t>
      </w:r>
    </w:p>
    <w:p w14:paraId="4FE06C24" w14:textId="01E874FF" w:rsidR="00C942D2" w:rsidRPr="00F47D96" w:rsidRDefault="005A0EC3" w:rsidP="008105BD">
      <w:r>
        <w:t>I</w:t>
      </w:r>
      <w:r w:rsidR="008F4F9B">
        <w:t xml:space="preserve">n April 2022, </w:t>
      </w:r>
      <w:r w:rsidR="00C942D2">
        <w:t>EPA issued an Information Collection Request (“</w:t>
      </w:r>
      <w:r w:rsidR="00C942D2" w:rsidRPr="0065768F">
        <w:t>ICR</w:t>
      </w:r>
      <w:r w:rsidR="00C942D2">
        <w:t>”) under Section 114 of the Clean Air Act to Georgia Power and other entities to collect data in preparation for the CT MACT RTR reconsideration. The ICR create</w:t>
      </w:r>
      <w:r w:rsidR="00490464">
        <w:t>d</w:t>
      </w:r>
      <w:r w:rsidR="00C942D2">
        <w:t xml:space="preserve"> a one-time compliance obligation for sources to provide this data and was due back to EPA in January 2023. Originally, EPA asked Georgia Power to complete a questionnaire and perform extensive emissions testing at as many as 15 </w:t>
      </w:r>
      <w:r w:rsidR="00AB3310">
        <w:t>CT</w:t>
      </w:r>
      <w:r w:rsidR="00C942D2">
        <w:t xml:space="preserve"> units. After Georgia Power informed EPA of the potential winter reliability concerns and cost impact to customers, EPA agreed to reduce the scope of the ICR to two simple</w:t>
      </w:r>
      <w:r w:rsidR="009E0B98">
        <w:t xml:space="preserve"> </w:t>
      </w:r>
      <w:r w:rsidR="00C942D2">
        <w:t xml:space="preserve">cycle </w:t>
      </w:r>
      <w:r w:rsidR="00B741DB">
        <w:t>CTs</w:t>
      </w:r>
      <w:r w:rsidR="00C942D2">
        <w:t xml:space="preserve"> (Plant McIntosh CT1 and CT2) on both oil and natural gas</w:t>
      </w:r>
      <w:r w:rsidR="00C942D2" w:rsidRPr="0065768F">
        <w:t xml:space="preserve"> </w:t>
      </w:r>
      <w:r w:rsidR="00C942D2">
        <w:t>and two combined</w:t>
      </w:r>
      <w:r w:rsidR="009E0B98">
        <w:t xml:space="preserve"> </w:t>
      </w:r>
      <w:r w:rsidR="00C942D2">
        <w:t xml:space="preserve">cycle </w:t>
      </w:r>
      <w:r w:rsidR="00B741DB">
        <w:t>CTs</w:t>
      </w:r>
      <w:r w:rsidR="00C942D2">
        <w:t xml:space="preserve"> (Plant McDonough CT4A and CT4B) on natural gas.</w:t>
      </w:r>
    </w:p>
    <w:p w14:paraId="293AB057" w14:textId="4E1549D4" w:rsidR="00200E29" w:rsidRPr="00F47D96" w:rsidRDefault="00200E29" w:rsidP="008105BD">
      <w:r w:rsidRPr="00200E29">
        <w:lastRenderedPageBreak/>
        <w:t>In January 2023, Georgia Power and other companies submitted facility information and emissions testing results to EPA in response to the ICR issued in April 2022.</w:t>
      </w:r>
      <w:r w:rsidR="007C14B7">
        <w:t xml:space="preserve"> </w:t>
      </w:r>
      <w:r w:rsidR="00C313A7" w:rsidRPr="00DA4227">
        <w:t xml:space="preserve">According to the 2024 </w:t>
      </w:r>
      <w:r w:rsidR="00550D85" w:rsidRPr="00DA4227">
        <w:t>Fall</w:t>
      </w:r>
      <w:r w:rsidR="00C313A7" w:rsidRPr="00DA4227">
        <w:t xml:space="preserve"> Unified Agenda, EPA </w:t>
      </w:r>
      <w:r w:rsidR="00522119" w:rsidRPr="00DA4227">
        <w:t>is</w:t>
      </w:r>
      <w:r w:rsidR="00C313A7" w:rsidRPr="00DA4227">
        <w:t xml:space="preserve"> expected to </w:t>
      </w:r>
      <w:r w:rsidR="00403A30" w:rsidRPr="00DA4227">
        <w:t>finalize the CT MACT RTR reconsideration before the end of 2025</w:t>
      </w:r>
      <w:r w:rsidR="00C313A7" w:rsidRPr="00DA4227">
        <w:t>.</w:t>
      </w:r>
    </w:p>
    <w:p w14:paraId="4B872A92" w14:textId="6C00B966" w:rsidR="00CA448C" w:rsidRPr="001D6573" w:rsidRDefault="00DA238A" w:rsidP="004E0F1D">
      <w:pPr>
        <w:pStyle w:val="Heading4"/>
      </w:pPr>
      <w:r w:rsidRPr="001D6573">
        <w:t>2.3.3.1</w:t>
      </w:r>
      <w:r w:rsidRPr="001D6573">
        <w:tab/>
      </w:r>
      <w:r w:rsidR="00DD219A" w:rsidRPr="001D6573">
        <w:t>MACT Compliance Strategy</w:t>
      </w:r>
    </w:p>
    <w:p w14:paraId="1B78FAC8" w14:textId="37629502" w:rsidR="00CA448C" w:rsidRDefault="00CA448C" w:rsidP="008105BD">
      <w:pPr>
        <w:rPr>
          <w:rFonts w:eastAsia="Arial" w:cs="Arial"/>
        </w:rPr>
      </w:pPr>
      <w:r w:rsidRPr="00C425B0">
        <w:t>Georgia Power</w:t>
      </w:r>
      <w:r>
        <w:t xml:space="preserve">’s compliance strategy for </w:t>
      </w:r>
      <w:r w:rsidRPr="00C425B0">
        <w:t>MATS leverag</w:t>
      </w:r>
      <w:r>
        <w:t>ed</w:t>
      </w:r>
      <w:r w:rsidRPr="00C425B0">
        <w:t xml:space="preserve"> the Company’s research and testing program to make individualized, targeted decisions for each unit that optimizes the available technology while minimizing costs to the customer. </w:t>
      </w:r>
      <w:r>
        <w:t>While the existing scrubbers at Plant Bowen were able to achieve compliance with the acid gas or SO</w:t>
      </w:r>
      <w:r w:rsidRPr="008B4F2C">
        <w:rPr>
          <w:vertAlign w:val="subscript"/>
        </w:rPr>
        <w:t>2</w:t>
      </w:r>
      <w:r>
        <w:t xml:space="preserve"> emission requirements, </w:t>
      </w:r>
      <w:r w:rsidR="00410E33">
        <w:t xml:space="preserve">additional </w:t>
      </w:r>
      <w:r>
        <w:t xml:space="preserve">controls were necessary to comply with mercury and metals or PM limits on a continuous basis. </w:t>
      </w:r>
      <w:r w:rsidRPr="00C425B0">
        <w:t>Therefore,</w:t>
      </w:r>
      <w:r w:rsidRPr="00C425B0" w:rsidDel="00A6734F">
        <w:t xml:space="preserve"> </w:t>
      </w:r>
      <w:r w:rsidRPr="00C425B0">
        <w:t>Georgia Power installed activated carbon and alkali sorbent (e.g., hydrated lime) injections systems on all units at Plant Bowen</w:t>
      </w:r>
      <w:r>
        <w:t xml:space="preserve"> by the compliance deadline of April 2016</w:t>
      </w:r>
      <w:r w:rsidRPr="00C425B0">
        <w:t xml:space="preserve">. In addition, to minimize operational costs associated with the injection systems, Mercury Re-emission Control Systems (“MRCSs”) were also installed at Plant Bowen Units 1-2 to prevent re-emission of mercury once it is captured in the </w:t>
      </w:r>
      <w:r w:rsidR="003540B1">
        <w:t>scrubber</w:t>
      </w:r>
      <w:r>
        <w:t>.</w:t>
      </w:r>
      <w:r w:rsidRPr="00C425B0">
        <w:t xml:space="preserve"> To ensure compliance with the MATS particulate matter limits, optimization of the existing electrostatic precipitators (“ESPs”) was performed at Plant Bowen Units 1-2, while baghouse retrofits were necessary at Plant Bow</w:t>
      </w:r>
      <w:r w:rsidRPr="00F53D92">
        <w:rPr>
          <w:rFonts w:eastAsia="Arial" w:cs="Arial"/>
        </w:rPr>
        <w:t xml:space="preserve">en Units 3-4 to capture additional particulate in the flue gases </w:t>
      </w:r>
      <w:proofErr w:type="gramStart"/>
      <w:r w:rsidRPr="00F53D92">
        <w:rPr>
          <w:rFonts w:eastAsia="Arial" w:cs="Arial"/>
        </w:rPr>
        <w:t>in order to</w:t>
      </w:r>
      <w:proofErr w:type="gramEnd"/>
      <w:r w:rsidRPr="00F53D92">
        <w:rPr>
          <w:rFonts w:eastAsia="Arial" w:cs="Arial"/>
        </w:rPr>
        <w:t xml:space="preserve"> comply.</w:t>
      </w:r>
      <w:r>
        <w:rPr>
          <w:rFonts w:eastAsia="Arial" w:cs="Arial"/>
        </w:rPr>
        <w:t xml:space="preserve"> In addition</w:t>
      </w:r>
      <w:r w:rsidRPr="00F53D92">
        <w:rPr>
          <w:rFonts w:eastAsia="Arial" w:cs="Arial"/>
        </w:rPr>
        <w:t xml:space="preserve">, the Company performed plant-specific optimization projects </w:t>
      </w:r>
      <w:r>
        <w:rPr>
          <w:rFonts w:eastAsia="Arial" w:cs="Arial"/>
        </w:rPr>
        <w:t xml:space="preserve">at Plant Bowen </w:t>
      </w:r>
      <w:r w:rsidRPr="00F53D92">
        <w:rPr>
          <w:rFonts w:eastAsia="Arial" w:cs="Arial"/>
        </w:rPr>
        <w:t xml:space="preserve">on the existing </w:t>
      </w:r>
      <w:r w:rsidR="003540B1">
        <w:rPr>
          <w:rFonts w:eastAsia="Arial" w:cs="Arial"/>
        </w:rPr>
        <w:t>scrubbers</w:t>
      </w:r>
      <w:r w:rsidRPr="00F53D92">
        <w:rPr>
          <w:rFonts w:eastAsia="Arial" w:cs="Arial"/>
        </w:rPr>
        <w:t xml:space="preserve"> to minimize potential impacts to reliability </w:t>
      </w:r>
      <w:r>
        <w:rPr>
          <w:rFonts w:eastAsia="Arial" w:cs="Arial"/>
        </w:rPr>
        <w:t xml:space="preserve">and on </w:t>
      </w:r>
      <w:r w:rsidRPr="00F53D92">
        <w:rPr>
          <w:rFonts w:eastAsia="Arial" w:cs="Arial"/>
        </w:rPr>
        <w:t xml:space="preserve">balance of plant </w:t>
      </w:r>
      <w:r>
        <w:rPr>
          <w:rFonts w:eastAsia="Arial" w:cs="Arial"/>
        </w:rPr>
        <w:t xml:space="preserve">equipment to </w:t>
      </w:r>
      <w:r w:rsidRPr="00F53D92">
        <w:rPr>
          <w:rFonts w:eastAsia="Arial" w:cs="Arial"/>
        </w:rPr>
        <w:t>ensure reliability of mercury, acid gas, and particulate matter controls</w:t>
      </w:r>
      <w:r>
        <w:rPr>
          <w:rFonts w:eastAsia="Arial" w:cs="Arial"/>
        </w:rPr>
        <w:t xml:space="preserve"> </w:t>
      </w:r>
      <w:r w:rsidRPr="00F53D92">
        <w:rPr>
          <w:rFonts w:eastAsia="Arial" w:cs="Arial"/>
        </w:rPr>
        <w:t>as a part of the MATS compliance strategy.</w:t>
      </w:r>
      <w:r w:rsidR="007C14B7">
        <w:rPr>
          <w:rFonts w:eastAsia="Arial" w:cs="Arial"/>
        </w:rPr>
        <w:t xml:space="preserve"> </w:t>
      </w:r>
    </w:p>
    <w:p w14:paraId="0B399909" w14:textId="5BF1C879" w:rsidR="00CA448C" w:rsidRDefault="00CA448C" w:rsidP="008105BD">
      <w:pPr>
        <w:rPr>
          <w:rFonts w:eastAsia="Arial" w:cs="Arial"/>
        </w:rPr>
      </w:pPr>
      <w:r w:rsidRPr="00F53D92">
        <w:rPr>
          <w:rFonts w:eastAsia="Arial" w:cs="Arial"/>
        </w:rPr>
        <w:t xml:space="preserve">For the subbituminous coal-fired units at Plant Scherer, existing controls installed to comply with the Georgia Multipollutant Rule (i.e., </w:t>
      </w:r>
      <w:r w:rsidR="003540B1">
        <w:rPr>
          <w:rFonts w:eastAsia="Arial" w:cs="Arial"/>
        </w:rPr>
        <w:t>scrubber</w:t>
      </w:r>
      <w:r w:rsidRPr="00F53D92">
        <w:rPr>
          <w:rFonts w:eastAsia="Arial" w:cs="Arial"/>
        </w:rPr>
        <w:t>, SCR, and baghouse with activated carbon injection (“ACI”)) are used to comply with the MATS limits.</w:t>
      </w:r>
      <w:r w:rsidR="007C14B7">
        <w:rPr>
          <w:rFonts w:eastAsia="Arial" w:cs="Arial"/>
        </w:rPr>
        <w:t xml:space="preserve"> </w:t>
      </w:r>
      <w:r w:rsidRPr="009632C1">
        <w:rPr>
          <w:rFonts w:eastAsia="Arial" w:cs="Arial"/>
        </w:rPr>
        <w:t>Plant Yates Units 6 and 7 and Plant Gaston Units 1-4 switched to natural gas as the primary fuel. By switching to natural gas, these units are no longer subject to MATS because MATS applies only to coal- and oil-fired units. Georgia Power determined that use of natural gas at these plants is the most economic choice for customers and is feasible both from a boiler technology as well as a natural gas fuel supply perspective.</w:t>
      </w:r>
      <w:r w:rsidR="007C14B7">
        <w:rPr>
          <w:rFonts w:eastAsia="Arial" w:cs="Arial"/>
        </w:rPr>
        <w:t xml:space="preserve"> </w:t>
      </w:r>
    </w:p>
    <w:p w14:paraId="3BB0A199" w14:textId="5B932167" w:rsidR="00CA448C" w:rsidRDefault="003D6854" w:rsidP="008105BD">
      <w:pPr>
        <w:rPr>
          <w:rFonts w:eastAsia="Arial" w:cs="Arial"/>
        </w:rPr>
      </w:pPr>
      <w:proofErr w:type="gramStart"/>
      <w:r>
        <w:rPr>
          <w:rFonts w:eastAsia="Arial" w:cs="Arial"/>
        </w:rPr>
        <w:t>In order to</w:t>
      </w:r>
      <w:proofErr w:type="gramEnd"/>
      <w:r>
        <w:rPr>
          <w:rFonts w:eastAsia="Arial" w:cs="Arial"/>
        </w:rPr>
        <w:t xml:space="preserve"> comply with the recently finalized MATS </w:t>
      </w:r>
      <w:r w:rsidR="00C37290">
        <w:rPr>
          <w:rFonts w:eastAsia="Arial" w:cs="Arial"/>
        </w:rPr>
        <w:t xml:space="preserve">RTR, the Company does not anticipate </w:t>
      </w:r>
      <w:r w:rsidR="001B27C0">
        <w:rPr>
          <w:rFonts w:eastAsia="Arial" w:cs="Arial"/>
        </w:rPr>
        <w:t xml:space="preserve">the </w:t>
      </w:r>
      <w:r w:rsidR="00207EF7">
        <w:rPr>
          <w:rFonts w:eastAsia="Arial" w:cs="Arial"/>
        </w:rPr>
        <w:t xml:space="preserve">installation of additional controls to comply with the revised standards. </w:t>
      </w:r>
      <w:r w:rsidR="00484704">
        <w:rPr>
          <w:rFonts w:eastAsia="Arial" w:cs="Arial"/>
        </w:rPr>
        <w:t xml:space="preserve">Existing controls </w:t>
      </w:r>
      <w:r w:rsidR="00BF2A8C">
        <w:rPr>
          <w:rFonts w:eastAsia="Arial" w:cs="Arial"/>
        </w:rPr>
        <w:t>are projected to</w:t>
      </w:r>
      <w:r w:rsidR="00484704">
        <w:rPr>
          <w:rFonts w:eastAsia="Arial" w:cs="Arial"/>
        </w:rPr>
        <w:t xml:space="preserve"> continue </w:t>
      </w:r>
      <w:r w:rsidR="00BF2A8C">
        <w:rPr>
          <w:rFonts w:eastAsia="Arial" w:cs="Arial"/>
        </w:rPr>
        <w:t xml:space="preserve">operating in a similar fashion to current operations to ensure compliance. </w:t>
      </w:r>
      <w:r w:rsidR="00D43E4E">
        <w:rPr>
          <w:rFonts w:eastAsia="Arial" w:cs="Arial"/>
        </w:rPr>
        <w:t xml:space="preserve">Compliance will require the addition of </w:t>
      </w:r>
      <w:r w:rsidR="00D64A6F">
        <w:rPr>
          <w:rFonts w:eastAsia="Arial" w:cs="Arial"/>
        </w:rPr>
        <w:t xml:space="preserve">new PM CEMS for </w:t>
      </w:r>
      <w:r w:rsidR="007375EA">
        <w:rPr>
          <w:rFonts w:eastAsia="Arial" w:cs="Arial"/>
        </w:rPr>
        <w:t xml:space="preserve">each of </w:t>
      </w:r>
      <w:r w:rsidR="00D64A6F">
        <w:rPr>
          <w:rFonts w:eastAsia="Arial" w:cs="Arial"/>
        </w:rPr>
        <w:t>Bowen Units 1-4 and Scherer Units 1-3</w:t>
      </w:r>
      <w:r w:rsidR="00AB1DBE">
        <w:rPr>
          <w:rFonts w:eastAsia="Arial" w:cs="Arial"/>
        </w:rPr>
        <w:t>, which the Company will operate</w:t>
      </w:r>
      <w:r w:rsidR="00D64A6F">
        <w:rPr>
          <w:rFonts w:eastAsia="Arial" w:cs="Arial"/>
        </w:rPr>
        <w:t xml:space="preserve"> by July 6, 2027.</w:t>
      </w:r>
      <w:r w:rsidR="00CA448C" w:rsidRPr="003058D0">
        <w:rPr>
          <w:rFonts w:eastAsia="Arial" w:cs="Arial"/>
        </w:rPr>
        <w:t xml:space="preserve"> </w:t>
      </w:r>
      <w:r w:rsidR="009645CD">
        <w:rPr>
          <w:rFonts w:eastAsia="Arial" w:cs="Arial"/>
        </w:rPr>
        <w:t xml:space="preserve">In 2024, the Company </w:t>
      </w:r>
      <w:r w:rsidR="00C567E5">
        <w:rPr>
          <w:rFonts w:eastAsia="Arial" w:cs="Arial"/>
        </w:rPr>
        <w:t xml:space="preserve">installed </w:t>
      </w:r>
      <w:r w:rsidR="0035479B">
        <w:rPr>
          <w:rFonts w:eastAsia="Arial" w:cs="Arial"/>
        </w:rPr>
        <w:t xml:space="preserve">temporary </w:t>
      </w:r>
      <w:r w:rsidR="00421549">
        <w:rPr>
          <w:rFonts w:eastAsia="Arial" w:cs="Arial"/>
        </w:rPr>
        <w:t xml:space="preserve">PM </w:t>
      </w:r>
      <w:r w:rsidR="0035479B">
        <w:rPr>
          <w:rFonts w:eastAsia="Arial" w:cs="Arial"/>
        </w:rPr>
        <w:t xml:space="preserve">monitors </w:t>
      </w:r>
      <w:r w:rsidR="00CE5A2B">
        <w:rPr>
          <w:rFonts w:eastAsia="Arial" w:cs="Arial"/>
        </w:rPr>
        <w:t>on units at both Plants Bowen and Scherer</w:t>
      </w:r>
      <w:r w:rsidR="00C73DD8">
        <w:rPr>
          <w:rFonts w:eastAsia="Arial" w:cs="Arial"/>
        </w:rPr>
        <w:t>, collect</w:t>
      </w:r>
      <w:r w:rsidR="004B3A09">
        <w:rPr>
          <w:rFonts w:eastAsia="Arial" w:cs="Arial"/>
        </w:rPr>
        <w:t>ing</w:t>
      </w:r>
      <w:r w:rsidR="00C73DD8">
        <w:rPr>
          <w:rFonts w:eastAsia="Arial" w:cs="Arial"/>
        </w:rPr>
        <w:t xml:space="preserve"> limited data to </w:t>
      </w:r>
      <w:r w:rsidR="001359E6">
        <w:rPr>
          <w:rFonts w:eastAsia="Arial" w:cs="Arial"/>
        </w:rPr>
        <w:t xml:space="preserve">evaluate </w:t>
      </w:r>
      <w:r w:rsidR="001D05F2">
        <w:rPr>
          <w:rFonts w:eastAsia="Arial" w:cs="Arial"/>
        </w:rPr>
        <w:t>the</w:t>
      </w:r>
      <w:r w:rsidR="0078240E">
        <w:rPr>
          <w:rFonts w:eastAsia="Arial" w:cs="Arial"/>
        </w:rPr>
        <w:t xml:space="preserve"> </w:t>
      </w:r>
      <w:r w:rsidR="001D05F2" w:rsidRPr="002648BD">
        <w:t xml:space="preserve">performance </w:t>
      </w:r>
      <w:r w:rsidR="005D2837">
        <w:t xml:space="preserve">and </w:t>
      </w:r>
      <w:r w:rsidR="001D05F2" w:rsidRPr="002648BD">
        <w:t>operations and maintenance</w:t>
      </w:r>
      <w:r w:rsidR="001D05F2">
        <w:t xml:space="preserve"> (“O&amp;M”)</w:t>
      </w:r>
      <w:r w:rsidR="00B551ED">
        <w:t xml:space="preserve">. </w:t>
      </w:r>
      <w:r w:rsidR="000A198B">
        <w:t>Stack testing was performed alongside the test</w:t>
      </w:r>
      <w:r w:rsidR="000D371D">
        <w:t xml:space="preserve"> monitors, w</w:t>
      </w:r>
      <w:r w:rsidR="008D2135">
        <w:t xml:space="preserve">hich revealed likely challenges </w:t>
      </w:r>
      <w:r w:rsidR="00D53E1E">
        <w:t xml:space="preserve">related to </w:t>
      </w:r>
      <w:r w:rsidR="00D53E1E" w:rsidRPr="002648BD">
        <w:t>certifying and setting calibration curves for the monitors at Plant Bowen and Plant Scherer, which have very low emissions.</w:t>
      </w:r>
      <w:r w:rsidR="0070448F">
        <w:t xml:space="preserve"> </w:t>
      </w:r>
      <w:r w:rsidR="00E7046C">
        <w:t xml:space="preserve">The Company is evaluating potential solutions to these challenges ahead of the 2027 compliance date. </w:t>
      </w:r>
    </w:p>
    <w:p w14:paraId="02342E52" w14:textId="0E51533A" w:rsidR="00CA448C" w:rsidRDefault="00CA448C" w:rsidP="008105BD">
      <w:r>
        <w:t>For CT MACT, the lifting of the stay on requirements for natural gas-fired units affected Plants McDonough and McIntosh combined</w:t>
      </w:r>
      <w:r w:rsidR="00A3222D">
        <w:t>-</w:t>
      </w:r>
      <w:r>
        <w:t xml:space="preserve">cycle units. However, </w:t>
      </w:r>
      <w:proofErr w:type="gramStart"/>
      <w:r>
        <w:t>all of</w:t>
      </w:r>
      <w:proofErr w:type="gramEnd"/>
      <w:r>
        <w:t xml:space="preserve"> the affected units were constructed with oxidation catalyst</w:t>
      </w:r>
      <w:r w:rsidR="00BE2322">
        <w:t>s</w:t>
      </w:r>
      <w:r>
        <w:t>, which are considered state</w:t>
      </w:r>
      <w:r w:rsidR="000F1506">
        <w:t>-</w:t>
      </w:r>
      <w:r>
        <w:t>of</w:t>
      </w:r>
      <w:r w:rsidR="000F1506">
        <w:t>-</w:t>
      </w:r>
      <w:r>
        <w:t>the</w:t>
      </w:r>
      <w:r w:rsidR="000F1506">
        <w:t>-</w:t>
      </w:r>
      <w:r>
        <w:t xml:space="preserve">art controls for </w:t>
      </w:r>
      <w:r>
        <w:lastRenderedPageBreak/>
        <w:t xml:space="preserve">formaldehyde. Thus, the units </w:t>
      </w:r>
      <w:proofErr w:type="gramStart"/>
      <w:r>
        <w:t>are able to</w:t>
      </w:r>
      <w:proofErr w:type="gramEnd"/>
      <w:r>
        <w:t xml:space="preserve"> comply with only minor updates to monitoring equipment and increased </w:t>
      </w:r>
      <w:r w:rsidR="00F13C62">
        <w:t xml:space="preserve">testing, </w:t>
      </w:r>
      <w:r>
        <w:t>r</w:t>
      </w:r>
      <w:r w:rsidRPr="002E1545">
        <w:t>eporting</w:t>
      </w:r>
      <w:r w:rsidR="00F13C62">
        <w:t>,</w:t>
      </w:r>
      <w:r w:rsidRPr="002E1545">
        <w:t xml:space="preserve"> and recordkeeping obligations. </w:t>
      </w:r>
      <w:r w:rsidR="00183E61" w:rsidRPr="00183E61">
        <w:t>Plant Yates Units 8-10 simple</w:t>
      </w:r>
      <w:r w:rsidR="00A3222D">
        <w:t>-</w:t>
      </w:r>
      <w:r w:rsidR="00183E61" w:rsidRPr="00183E61">
        <w:t xml:space="preserve">cycle </w:t>
      </w:r>
      <w:r w:rsidR="001077B1">
        <w:t>CTs</w:t>
      </w:r>
      <w:r w:rsidR="0096326D">
        <w:t xml:space="preserve"> will also </w:t>
      </w:r>
      <w:r w:rsidR="007C75E6">
        <w:t xml:space="preserve">include </w:t>
      </w:r>
      <w:r w:rsidR="00F6742A">
        <w:t xml:space="preserve">installation and operation of </w:t>
      </w:r>
      <w:r w:rsidR="007C75E6">
        <w:t xml:space="preserve">oxidation catalysts and are designed to comply with the </w:t>
      </w:r>
      <w:r w:rsidR="0096326D">
        <w:t xml:space="preserve">CT MACT </w:t>
      </w:r>
      <w:r w:rsidR="007C75E6">
        <w:t>requirements</w:t>
      </w:r>
      <w:r w:rsidR="000D653A">
        <w:t>.</w:t>
      </w:r>
      <w:r w:rsidR="00183E61">
        <w:t xml:space="preserve"> </w:t>
      </w:r>
      <w:r>
        <w:t>The Company will monitor developments on the CT MACT rule following the submittal of the ICR information and will refine or update the strategy as needed through the ECS process.</w:t>
      </w:r>
    </w:p>
    <w:p w14:paraId="48D3CA09" w14:textId="1C96C30D" w:rsidR="005F60DD" w:rsidRDefault="00F77248" w:rsidP="008105BD">
      <w:r w:rsidRPr="0855BE44">
        <w:t>In recent years, EPA promulgated rulemaking known as Major</w:t>
      </w:r>
      <w:r w:rsidR="009E05A0" w:rsidRPr="0855BE44">
        <w:t xml:space="preserve"> MACT</w:t>
      </w:r>
      <w:r w:rsidRPr="0855BE44">
        <w:t xml:space="preserve"> to Area (</w:t>
      </w:r>
      <w:r w:rsidR="00B246E2" w:rsidRPr="0855BE44">
        <w:t>“</w:t>
      </w:r>
      <w:r w:rsidRPr="0855BE44">
        <w:t>MM2A</w:t>
      </w:r>
      <w:r w:rsidR="00B246E2" w:rsidRPr="0855BE44">
        <w:t>”</w:t>
      </w:r>
      <w:r w:rsidRPr="0855BE44">
        <w:t xml:space="preserve">), which codified Trump-era </w:t>
      </w:r>
      <w:r w:rsidR="009B34BE" w:rsidRPr="0855BE44">
        <w:t xml:space="preserve">guidance that major sources of HAP could </w:t>
      </w:r>
      <w:r w:rsidR="00F03EEC" w:rsidRPr="0855BE44">
        <w:t>reclassify</w:t>
      </w:r>
      <w:r w:rsidR="009B34BE" w:rsidRPr="0855BE44">
        <w:t xml:space="preserve"> as an area source </w:t>
      </w:r>
      <w:r w:rsidR="007E1E02" w:rsidRPr="0855BE44">
        <w:t xml:space="preserve">after taking steps to lower HAP emissions below the major source threshold. </w:t>
      </w:r>
      <w:r w:rsidR="00F05DCA" w:rsidRPr="0855BE44">
        <w:t>The final rule</w:t>
      </w:r>
      <w:r w:rsidR="006B065B" w:rsidRPr="0855BE44">
        <w:t xml:space="preserve"> was published in the Federal Register on November 19, 2020</w:t>
      </w:r>
      <w:r w:rsidR="00923830" w:rsidRPr="0855BE44">
        <w:t xml:space="preserve">. On September 10, 2024, </w:t>
      </w:r>
      <w:r w:rsidR="00EF4DAE" w:rsidRPr="0855BE44">
        <w:t xml:space="preserve">U.S. EPA </w:t>
      </w:r>
      <w:r w:rsidR="6EA70F30" w:rsidRPr="0855BE44">
        <w:t>finalized</w:t>
      </w:r>
      <w:r w:rsidR="00EF4DAE" w:rsidRPr="0855BE44">
        <w:t xml:space="preserve"> additional requirements </w:t>
      </w:r>
      <w:r w:rsidR="00AE3AB9" w:rsidRPr="0855BE44">
        <w:t xml:space="preserve">that certain source categories retain </w:t>
      </w:r>
      <w:r w:rsidR="00FE3445" w:rsidRPr="0855BE44">
        <w:t>NESHAP</w:t>
      </w:r>
      <w:r w:rsidR="00E913AD" w:rsidRPr="0855BE44">
        <w:t xml:space="preserve"> </w:t>
      </w:r>
      <w:r w:rsidR="00DD30E8" w:rsidRPr="0855BE44">
        <w:t xml:space="preserve">standards even if reclassifying to an </w:t>
      </w:r>
      <w:r w:rsidR="00721C13" w:rsidRPr="0855BE44">
        <w:t>area source.</w:t>
      </w:r>
      <w:r w:rsidR="008845D2" w:rsidRPr="0855BE44">
        <w:t xml:space="preserve"> </w:t>
      </w:r>
      <w:r w:rsidR="005309EB" w:rsidRPr="0855BE44">
        <w:t xml:space="preserve">The MM2A rulemaking does not affect electric steam generating </w:t>
      </w:r>
      <w:r w:rsidR="008B4F2C" w:rsidRPr="0855BE44">
        <w:t>units but</w:t>
      </w:r>
      <w:r w:rsidR="005309EB" w:rsidRPr="0855BE44">
        <w:t xml:space="preserve"> could potentially apply to stationary </w:t>
      </w:r>
      <w:r w:rsidR="00D20368">
        <w:t>CTs</w:t>
      </w:r>
      <w:r w:rsidR="005309EB" w:rsidRPr="0855BE44">
        <w:t xml:space="preserve">. </w:t>
      </w:r>
      <w:r w:rsidR="00C24177">
        <w:t xml:space="preserve">To provide operational flexibility, </w:t>
      </w:r>
      <w:r w:rsidR="00C14292" w:rsidRPr="0855BE44">
        <w:t xml:space="preserve">Georgia Power is not currently </w:t>
      </w:r>
      <w:r w:rsidR="00652ABE" w:rsidRPr="0855BE44">
        <w:t>planning to reclassify its stationa</w:t>
      </w:r>
      <w:r w:rsidR="00D014BB" w:rsidRPr="0855BE44">
        <w:t xml:space="preserve">ry </w:t>
      </w:r>
      <w:r w:rsidR="00506DED">
        <w:t>CT</w:t>
      </w:r>
      <w:r w:rsidR="00D014BB" w:rsidRPr="0855BE44">
        <w:t xml:space="preserve"> sites </w:t>
      </w:r>
      <w:r w:rsidR="00402132" w:rsidRPr="0855BE44">
        <w:t>t</w:t>
      </w:r>
      <w:r w:rsidR="001D6E9A" w:rsidRPr="0855BE44">
        <w:t xml:space="preserve">hat could </w:t>
      </w:r>
      <w:r w:rsidR="65EA76F3" w:rsidRPr="0855BE44">
        <w:t>qualify</w:t>
      </w:r>
      <w:r w:rsidR="001D6E9A" w:rsidRPr="0855BE44">
        <w:t xml:space="preserve"> as</w:t>
      </w:r>
      <w:r w:rsidR="00402132" w:rsidRPr="0855BE44">
        <w:t xml:space="preserve"> </w:t>
      </w:r>
      <w:r w:rsidR="00D014BB" w:rsidRPr="0855BE44">
        <w:t xml:space="preserve">area sources </w:t>
      </w:r>
      <w:r w:rsidR="00402132" w:rsidRPr="0855BE44">
        <w:t xml:space="preserve">as part of </w:t>
      </w:r>
      <w:r w:rsidR="005B20AD" w:rsidRPr="0855BE44">
        <w:t xml:space="preserve">the Company’s compliance strategy. </w:t>
      </w:r>
      <w:r w:rsidR="00AC2CA8" w:rsidRPr="0855BE44">
        <w:t xml:space="preserve">The Company will </w:t>
      </w:r>
      <w:r w:rsidR="00B468D5" w:rsidRPr="0855BE44">
        <w:t>re</w:t>
      </w:r>
      <w:r w:rsidR="000F531B" w:rsidRPr="0855BE44">
        <w:t xml:space="preserve">evaluate </w:t>
      </w:r>
      <w:r w:rsidR="00A478BC" w:rsidRPr="0855BE44">
        <w:t xml:space="preserve">area source </w:t>
      </w:r>
      <w:r w:rsidR="00D23674" w:rsidRPr="0855BE44">
        <w:t>reclassification</w:t>
      </w:r>
      <w:r w:rsidR="00A478BC" w:rsidRPr="0855BE44">
        <w:t xml:space="preserve"> for applicable facilit</w:t>
      </w:r>
      <w:r w:rsidR="00C24177">
        <w:t>i</w:t>
      </w:r>
      <w:r w:rsidR="00A478BC" w:rsidRPr="0855BE44">
        <w:t>es</w:t>
      </w:r>
      <w:r w:rsidR="00D23674" w:rsidRPr="0855BE44">
        <w:t xml:space="preserve"> as part of future compliance strategies.</w:t>
      </w:r>
      <w:r w:rsidR="007527DF" w:rsidRPr="0855BE44">
        <w:t xml:space="preserve"> </w:t>
      </w:r>
    </w:p>
    <w:p w14:paraId="26E1BB0F" w14:textId="495AF655" w:rsidR="00CA448C" w:rsidRPr="00D63B4A" w:rsidRDefault="00CA448C" w:rsidP="00A71696">
      <w:pPr>
        <w:pStyle w:val="Heading3"/>
      </w:pPr>
      <w:bookmarkStart w:id="59" w:name="_Toc130201011"/>
      <w:bookmarkStart w:id="60" w:name="_Toc188252326"/>
      <w:r w:rsidRPr="00D63B4A">
        <w:t>2.</w:t>
      </w:r>
      <w:r w:rsidR="00EA02BD" w:rsidRPr="00D63B4A">
        <w:t>3</w:t>
      </w:r>
      <w:r w:rsidRPr="00D63B4A">
        <w:t>.4 Regional Haze Regulations (40 CFR 51.308)</w:t>
      </w:r>
      <w:bookmarkEnd w:id="59"/>
      <w:bookmarkEnd w:id="60"/>
    </w:p>
    <w:p w14:paraId="3CD1FBEE" w14:textId="65F3C7D1" w:rsidR="00CA448C" w:rsidRPr="00DB7156" w:rsidRDefault="00CA448C" w:rsidP="008105BD">
      <w:pPr>
        <w:rPr>
          <w:color w:val="000000"/>
        </w:rPr>
      </w:pPr>
      <w:r>
        <w:t>T</w:t>
      </w:r>
      <w:r w:rsidRPr="172F7B2B">
        <w:t>he Regional Haze Rule</w:t>
      </w:r>
      <w:r>
        <w:t xml:space="preserve"> was finalized in July 1999 with the goal</w:t>
      </w:r>
      <w:r w:rsidRPr="172F7B2B" w:rsidDel="00D30DF8">
        <w:t xml:space="preserve"> </w:t>
      </w:r>
      <w:r w:rsidRPr="172F7B2B">
        <w:t>to</w:t>
      </w:r>
      <w:r>
        <w:t xml:space="preserve"> improve</w:t>
      </w:r>
      <w:r w:rsidRPr="172F7B2B" w:rsidDel="00D30DF8">
        <w:t xml:space="preserve"> </w:t>
      </w:r>
      <w:r w:rsidRPr="172F7B2B">
        <w:t xml:space="preserve">visibility conditions in specified </w:t>
      </w:r>
      <w:r>
        <w:t xml:space="preserve">federal </w:t>
      </w:r>
      <w:r w:rsidRPr="172F7B2B">
        <w:t xml:space="preserve">Class </w:t>
      </w:r>
      <w:r>
        <w:t>I</w:t>
      </w:r>
      <w:r w:rsidRPr="172F7B2B">
        <w:t xml:space="preserve"> areas</w:t>
      </w:r>
      <w:r>
        <w:t>,</w:t>
      </w:r>
      <w:r w:rsidRPr="172F7B2B">
        <w:t xml:space="preserve"> </w:t>
      </w:r>
      <w:r>
        <w:t xml:space="preserve">including </w:t>
      </w:r>
      <w:r w:rsidRPr="172F7B2B">
        <w:t>primarily national parks and wilderness areas</w:t>
      </w:r>
      <w:r>
        <w:t>, back to natural conditions by 2064</w:t>
      </w:r>
      <w:r w:rsidRPr="172F7B2B">
        <w:t xml:space="preserve">. The rule </w:t>
      </w:r>
      <w:r>
        <w:t xml:space="preserve">requires states to develop a SIP to determine and address any </w:t>
      </w:r>
      <w:r w:rsidRPr="00A05073">
        <w:t>SO</w:t>
      </w:r>
      <w:r w:rsidRPr="00A05073">
        <w:rPr>
          <w:vertAlign w:val="subscript"/>
        </w:rPr>
        <w:t>2</w:t>
      </w:r>
      <w:r>
        <w:t xml:space="preserve"> or </w:t>
      </w:r>
      <w:r w:rsidR="002628B6" w:rsidRPr="00442755">
        <w:t>NO</w:t>
      </w:r>
      <w:r w:rsidR="002628B6">
        <w:t>x</w:t>
      </w:r>
      <w:r>
        <w:t xml:space="preserve"> emissions control measures necessary to make reasonable progress toward natural visibility conditions for each 10-year planning period.</w:t>
      </w:r>
      <w:r w:rsidR="007C14B7">
        <w:t xml:space="preserve"> </w:t>
      </w:r>
      <w:r>
        <w:t xml:space="preserve">The first implementation period involved the </w:t>
      </w:r>
      <w:r w:rsidRPr="172F7B2B">
        <w:t xml:space="preserve">application of </w:t>
      </w:r>
      <w:r>
        <w:t>best available retrofit technology (</w:t>
      </w:r>
      <w:r w:rsidR="00643544">
        <w:t>“</w:t>
      </w:r>
      <w:r w:rsidRPr="172F7B2B">
        <w:t>BART</w:t>
      </w:r>
      <w:r w:rsidR="00643544">
        <w:t>”</w:t>
      </w:r>
      <w:r>
        <w:t>) requirements, which</w:t>
      </w:r>
      <w:r w:rsidRPr="172F7B2B">
        <w:t xml:space="preserve"> </w:t>
      </w:r>
      <w:r>
        <w:t xml:space="preserve">was determined to be satisfied for power plants by CSAPR requirements for </w:t>
      </w:r>
      <w:r w:rsidRPr="00473892">
        <w:t>SO</w:t>
      </w:r>
      <w:r w:rsidRPr="00473892">
        <w:rPr>
          <w:vertAlign w:val="subscript"/>
        </w:rPr>
        <w:t>2</w:t>
      </w:r>
      <w:r>
        <w:t xml:space="preserve"> and </w:t>
      </w:r>
      <w:r w:rsidR="002628B6" w:rsidRPr="00442755">
        <w:t>NO</w:t>
      </w:r>
      <w:r w:rsidR="002628B6">
        <w:t>x</w:t>
      </w:r>
      <w:r>
        <w:t>.</w:t>
      </w:r>
      <w:r w:rsidDel="00664FDA">
        <w:t xml:space="preserve">  </w:t>
      </w:r>
    </w:p>
    <w:p w14:paraId="5EBA9CE5" w14:textId="72BA853F" w:rsidR="00CA448C" w:rsidRPr="00764E94" w:rsidRDefault="00CA448C" w:rsidP="008105BD">
      <w:pPr>
        <w:rPr>
          <w:rFonts w:eastAsia="Times New Roman"/>
        </w:rPr>
      </w:pPr>
      <w:r>
        <w:rPr>
          <w:color w:val="000000"/>
        </w:rPr>
        <w:t>I</w:t>
      </w:r>
      <w:r w:rsidRPr="00DB7156">
        <w:rPr>
          <w:color w:val="000000"/>
        </w:rPr>
        <w:t xml:space="preserve">n January 2017, EPA finalized revisions to the second planning period under the </w:t>
      </w:r>
      <w:r>
        <w:rPr>
          <w:color w:val="000000"/>
        </w:rPr>
        <w:t>R</w:t>
      </w:r>
      <w:r w:rsidRPr="00DB7156">
        <w:rPr>
          <w:color w:val="000000"/>
        </w:rPr>
        <w:t xml:space="preserve">egional </w:t>
      </w:r>
      <w:r>
        <w:rPr>
          <w:color w:val="000000"/>
        </w:rPr>
        <w:t>H</w:t>
      </w:r>
      <w:r w:rsidRPr="00DB7156">
        <w:rPr>
          <w:color w:val="000000"/>
        </w:rPr>
        <w:t xml:space="preserve">aze </w:t>
      </w:r>
      <w:r>
        <w:rPr>
          <w:color w:val="000000"/>
        </w:rPr>
        <w:t>R</w:t>
      </w:r>
      <w:r w:rsidRPr="00DB7156">
        <w:rPr>
          <w:color w:val="000000"/>
        </w:rPr>
        <w:t xml:space="preserve">ule, </w:t>
      </w:r>
      <w:r>
        <w:rPr>
          <w:color w:val="000000"/>
        </w:rPr>
        <w:t xml:space="preserve">which covers through </w:t>
      </w:r>
      <w:r w:rsidRPr="00DB7156">
        <w:rPr>
          <w:color w:val="000000"/>
        </w:rPr>
        <w:t>2028</w:t>
      </w:r>
      <w:r>
        <w:rPr>
          <w:color w:val="000000"/>
        </w:rPr>
        <w:t>.</w:t>
      </w:r>
      <w:r w:rsidR="007C14B7">
        <w:rPr>
          <w:color w:val="000000"/>
        </w:rPr>
        <w:t xml:space="preserve"> </w:t>
      </w:r>
      <w:r>
        <w:rPr>
          <w:color w:val="000000"/>
        </w:rPr>
        <w:t>These</w:t>
      </w:r>
      <w:r w:rsidRPr="00DB7156">
        <w:rPr>
          <w:color w:val="000000"/>
        </w:rPr>
        <w:t xml:space="preserve"> </w:t>
      </w:r>
      <w:r>
        <w:rPr>
          <w:color w:val="000000"/>
        </w:rPr>
        <w:t xml:space="preserve">revisions </w:t>
      </w:r>
      <w:r w:rsidRPr="00DB7156">
        <w:rPr>
          <w:color w:val="000000"/>
        </w:rPr>
        <w:t>include</w:t>
      </w:r>
      <w:r>
        <w:rPr>
          <w:color w:val="000000"/>
        </w:rPr>
        <w:t>d</w:t>
      </w:r>
      <w:r w:rsidRPr="00DB7156">
        <w:rPr>
          <w:color w:val="000000"/>
        </w:rPr>
        <w:t xml:space="preserve"> </w:t>
      </w:r>
      <w:r>
        <w:rPr>
          <w:color w:val="000000"/>
        </w:rPr>
        <w:t xml:space="preserve">the </w:t>
      </w:r>
      <w:r w:rsidRPr="00DB7156">
        <w:rPr>
          <w:color w:val="000000"/>
        </w:rPr>
        <w:t>extension of the deadline for the SIP submittal from July 2018 to July 2021 and increased requirements for state consultations with F</w:t>
      </w:r>
      <w:r>
        <w:rPr>
          <w:color w:val="000000"/>
        </w:rPr>
        <w:t>ederal Land Managers</w:t>
      </w:r>
      <w:r w:rsidRPr="00DB7156">
        <w:rPr>
          <w:color w:val="000000"/>
        </w:rPr>
        <w:t>.</w:t>
      </w:r>
      <w:r w:rsidR="007C14B7">
        <w:rPr>
          <w:color w:val="000000"/>
        </w:rPr>
        <w:t xml:space="preserve"> </w:t>
      </w:r>
      <w:r>
        <w:rPr>
          <w:color w:val="000000"/>
        </w:rPr>
        <w:t xml:space="preserve">In addition to this rulemaking, EPA has released guidance documents for Regional Haze SIP development for the second implementation period in 2016, 2019, and 2021, </w:t>
      </w:r>
      <w:r w:rsidR="00A91CF3">
        <w:rPr>
          <w:color w:val="000000"/>
        </w:rPr>
        <w:t>adjusting some elements each time</w:t>
      </w:r>
      <w:r>
        <w:rPr>
          <w:color w:val="000000"/>
        </w:rPr>
        <w:t xml:space="preserve">. </w:t>
      </w:r>
    </w:p>
    <w:p w14:paraId="3821E950" w14:textId="0DC360EC" w:rsidR="00CA448C" w:rsidRPr="008520F4" w:rsidRDefault="00CA448C" w:rsidP="008105BD">
      <w:pPr>
        <w:rPr>
          <w:b/>
          <w:bCs/>
          <w:color w:val="000080"/>
        </w:rPr>
      </w:pPr>
      <w:r w:rsidRPr="6ED84A44">
        <w:t xml:space="preserve">For </w:t>
      </w:r>
      <w:r>
        <w:t xml:space="preserve">the </w:t>
      </w:r>
      <w:r w:rsidRPr="6ED84A44">
        <w:t>Regional Haze</w:t>
      </w:r>
      <w:r>
        <w:t xml:space="preserve"> Rule</w:t>
      </w:r>
      <w:r w:rsidRPr="6ED84A44">
        <w:t>, Georgia EPD has ongoing participation in a regional planning organization for the Southeast U.S., which assessed ambient air quality data for the 2028 planning period.</w:t>
      </w:r>
      <w:r w:rsidR="007C14B7">
        <w:t xml:space="preserve"> </w:t>
      </w:r>
      <w:r w:rsidRPr="6ED84A44">
        <w:t>Based on this analysis, in July 2020, Georgia EPD selected Plant Bowen for further evaluation of SO</w:t>
      </w:r>
      <w:r w:rsidRPr="6ED84A44">
        <w:rPr>
          <w:vertAlign w:val="subscript"/>
        </w:rPr>
        <w:t>2</w:t>
      </w:r>
      <w:r w:rsidRPr="6ED84A44">
        <w:t xml:space="preserve"> emissions to determine whether additional control measures are required to make reasonable pro</w:t>
      </w:r>
      <w:r w:rsidR="00D63B4A">
        <w:t>gr</w:t>
      </w:r>
      <w:r w:rsidRPr="6ED84A44">
        <w:t>ess toward achieving the program’s goals.</w:t>
      </w:r>
      <w:r w:rsidR="007C14B7">
        <w:t xml:space="preserve"> </w:t>
      </w:r>
      <w:r w:rsidRPr="6ED84A44">
        <w:t>Georgia Power submitted the Regional Haze four-factor analysis for Plant Bowen in November 2020</w:t>
      </w:r>
      <w:r>
        <w:t xml:space="preserve">, recommending that no additional </w:t>
      </w:r>
      <w:r w:rsidRPr="00B41190">
        <w:t>SO</w:t>
      </w:r>
      <w:r w:rsidRPr="00B41190">
        <w:rPr>
          <w:vertAlign w:val="subscript"/>
        </w:rPr>
        <w:t>2</w:t>
      </w:r>
      <w:r>
        <w:t xml:space="preserve"> emission controls were necessary</w:t>
      </w:r>
      <w:r w:rsidRPr="6ED84A44">
        <w:t>.</w:t>
      </w:r>
      <w:r w:rsidR="007C14B7">
        <w:t xml:space="preserve"> </w:t>
      </w:r>
      <w:r>
        <w:t>Regional Haze SIPs</w:t>
      </w:r>
      <w:r w:rsidRPr="6ED84A44">
        <w:t xml:space="preserve"> for the 2028 planning period </w:t>
      </w:r>
      <w:r>
        <w:t>were</w:t>
      </w:r>
      <w:r w:rsidRPr="6ED84A44">
        <w:t xml:space="preserve"> due to EP</w:t>
      </w:r>
      <w:r>
        <w:t>A</w:t>
      </w:r>
      <w:r w:rsidRPr="6ED84A44">
        <w:t xml:space="preserve"> </w:t>
      </w:r>
      <w:r w:rsidRPr="00A10388">
        <w:t>by July 2021</w:t>
      </w:r>
      <w:r>
        <w:t xml:space="preserve">, which was missed by </w:t>
      </w:r>
      <w:proofErr w:type="gramStart"/>
      <w:r>
        <w:t>a majority of</w:t>
      </w:r>
      <w:proofErr w:type="gramEnd"/>
      <w:r>
        <w:t xml:space="preserve"> states, including Georgia</w:t>
      </w:r>
      <w:r w:rsidRPr="00141DDD">
        <w:t>.</w:t>
      </w:r>
      <w:r w:rsidR="007C14B7">
        <w:t xml:space="preserve"> </w:t>
      </w:r>
    </w:p>
    <w:p w14:paraId="0F2C5176" w14:textId="662475C7" w:rsidR="00084672" w:rsidRPr="00CA5C57" w:rsidRDefault="00084672" w:rsidP="008105BD">
      <w:r w:rsidRPr="00003E59">
        <w:lastRenderedPageBreak/>
        <w:t>In June 2022, Georgia EPD completed and proposed its Regional Haze SIP, allowing for a period of public comment. In the proposal, Georgia EPD concurred with the Georgia Power four-factor analysis for Plant Bowen recommendation that no additional SO</w:t>
      </w:r>
      <w:r w:rsidRPr="008B4F2C">
        <w:rPr>
          <w:vertAlign w:val="subscript"/>
        </w:rPr>
        <w:t>2</w:t>
      </w:r>
      <w:r w:rsidRPr="00003E59">
        <w:t xml:space="preserve"> emission controls are necessary for compliance with Regional Haze. Georgia Power will be required to comply with the existing MATS SO</w:t>
      </w:r>
      <w:r w:rsidRPr="008B4F2C">
        <w:rPr>
          <w:vertAlign w:val="subscript"/>
        </w:rPr>
        <w:t>2</w:t>
      </w:r>
      <w:r w:rsidRPr="00003E59">
        <w:t xml:space="preserve"> emission standard using the existing scrubbers at all four </w:t>
      </w:r>
      <w:r w:rsidR="00A427BA">
        <w:t xml:space="preserve">Plant </w:t>
      </w:r>
      <w:r w:rsidRPr="00003E59">
        <w:t>Bowen units as a part of the SIP.</w:t>
      </w:r>
      <w:r w:rsidR="00CA5C57">
        <w:t xml:space="preserve"> </w:t>
      </w:r>
      <w:r w:rsidRPr="00CA5C57">
        <w:t>In August 2022, Georgia EPD completed and submitted its Regional Haze SIP to EPA, with the requirements for Plant Bowen remaining consistent with the four-factor analysis submitted by Georgia Power.</w:t>
      </w:r>
      <w:r w:rsidR="003364C3">
        <w:t xml:space="preserve"> </w:t>
      </w:r>
    </w:p>
    <w:p w14:paraId="414FFCCD" w14:textId="4F6E2DD1" w:rsidR="322C2331" w:rsidRDefault="35B8AE70" w:rsidP="008105BD">
      <w:r w:rsidRPr="322C2331">
        <w:t>On September 6, 2023, Georgia EPD incorporated requirements associated with its Regional Haze SIP into Plant Bowen’s Title V operating permit.</w:t>
      </w:r>
    </w:p>
    <w:p w14:paraId="1F29203C" w14:textId="15878AEE" w:rsidR="00CA448C" w:rsidRPr="00060673" w:rsidRDefault="00CA448C" w:rsidP="00060673">
      <w:pPr>
        <w:pStyle w:val="Smallheading3notoc"/>
        <w:rPr>
          <w:i/>
        </w:rPr>
      </w:pPr>
      <w:r w:rsidRPr="00060673">
        <w:rPr>
          <w:i/>
        </w:rPr>
        <w:t>New Regulatory Updates</w:t>
      </w:r>
    </w:p>
    <w:p w14:paraId="034877CF" w14:textId="114861AF" w:rsidR="35C79D5D" w:rsidRDefault="35C79D5D" w:rsidP="008105BD">
      <w:pPr>
        <w:pStyle w:val="ListParagraph"/>
        <w:keepNext/>
        <w:keepLines/>
        <w:numPr>
          <w:ilvl w:val="0"/>
          <w:numId w:val="9"/>
        </w:numPr>
        <w:spacing w:after="0" w:line="259" w:lineRule="auto"/>
        <w:rPr>
          <w:rFonts w:asciiTheme="minorHAnsi" w:eastAsiaTheme="minorEastAsia" w:hAnsiTheme="minorHAnsi" w:cs="Arial"/>
          <w:sz w:val="22"/>
        </w:rPr>
      </w:pPr>
      <w:r w:rsidRPr="322C2331">
        <w:rPr>
          <w:rFonts w:asciiTheme="minorHAnsi" w:eastAsiaTheme="minorEastAsia" w:hAnsiTheme="minorHAnsi" w:cs="Arial"/>
          <w:sz w:val="22"/>
        </w:rPr>
        <w:t xml:space="preserve">On June 3, 2024, EPA published a proposal to approve Georgia’s Regional Haze </w:t>
      </w:r>
      <w:r w:rsidR="0F12EF26" w:rsidRPr="322C2331">
        <w:rPr>
          <w:rFonts w:asciiTheme="minorHAnsi" w:eastAsiaTheme="minorEastAsia" w:hAnsiTheme="minorHAnsi" w:cs="Arial"/>
          <w:sz w:val="22"/>
        </w:rPr>
        <w:t xml:space="preserve">SIP. The SIP submission addresses requirements for the second planning period of the </w:t>
      </w:r>
      <w:r w:rsidR="008F1FB6">
        <w:rPr>
          <w:rFonts w:asciiTheme="minorHAnsi" w:eastAsiaTheme="minorEastAsia" w:hAnsiTheme="minorHAnsi" w:cs="Arial"/>
          <w:sz w:val="22"/>
        </w:rPr>
        <w:t>R</w:t>
      </w:r>
      <w:r w:rsidR="008F1FB6" w:rsidRPr="322C2331">
        <w:rPr>
          <w:rFonts w:asciiTheme="minorHAnsi" w:eastAsiaTheme="minorEastAsia" w:hAnsiTheme="minorHAnsi" w:cs="Arial"/>
          <w:sz w:val="22"/>
        </w:rPr>
        <w:t xml:space="preserve">egional </w:t>
      </w:r>
      <w:r w:rsidR="008F1FB6">
        <w:rPr>
          <w:rFonts w:asciiTheme="minorHAnsi" w:eastAsiaTheme="minorEastAsia" w:hAnsiTheme="minorHAnsi" w:cs="Arial"/>
          <w:sz w:val="22"/>
        </w:rPr>
        <w:t>H</w:t>
      </w:r>
      <w:r w:rsidR="008F1FB6" w:rsidRPr="322C2331">
        <w:rPr>
          <w:rFonts w:asciiTheme="minorHAnsi" w:eastAsiaTheme="minorEastAsia" w:hAnsiTheme="minorHAnsi" w:cs="Arial"/>
          <w:sz w:val="22"/>
        </w:rPr>
        <w:t xml:space="preserve">aze </w:t>
      </w:r>
      <w:r w:rsidR="0F12EF26" w:rsidRPr="322C2331">
        <w:rPr>
          <w:rFonts w:asciiTheme="minorHAnsi" w:eastAsiaTheme="minorEastAsia" w:hAnsiTheme="minorHAnsi" w:cs="Arial"/>
          <w:sz w:val="22"/>
        </w:rPr>
        <w:t>program. Given the projected improvement in visibility conditions, EPA proposes to find t</w:t>
      </w:r>
      <w:r w:rsidR="6339081A" w:rsidRPr="322C2331">
        <w:rPr>
          <w:rFonts w:asciiTheme="minorHAnsi" w:eastAsiaTheme="minorEastAsia" w:hAnsiTheme="minorHAnsi" w:cs="Arial"/>
          <w:sz w:val="22"/>
        </w:rPr>
        <w:t xml:space="preserve">hat the source selection methodology was reasonable. </w:t>
      </w:r>
    </w:p>
    <w:p w14:paraId="3D40C1E1" w14:textId="77777777" w:rsidR="00BB477B" w:rsidRDefault="00BB477B" w:rsidP="002D3EF7">
      <w:pPr>
        <w:pStyle w:val="ListParagraph"/>
        <w:spacing w:after="0"/>
        <w:rPr>
          <w:rFonts w:asciiTheme="minorHAnsi" w:eastAsiaTheme="minorEastAsia" w:hAnsiTheme="minorHAnsi" w:cs="Arial"/>
          <w:sz w:val="22"/>
        </w:rPr>
      </w:pPr>
    </w:p>
    <w:p w14:paraId="07C65A45" w14:textId="2D80E59B" w:rsidR="00CA448C" w:rsidRPr="001D6573" w:rsidRDefault="00DA238A" w:rsidP="004B49FB">
      <w:pPr>
        <w:pStyle w:val="Heading4"/>
      </w:pPr>
      <w:r w:rsidRPr="001D6573">
        <w:t>2.3.4.1</w:t>
      </w:r>
      <w:r w:rsidRPr="001D6573">
        <w:tab/>
      </w:r>
      <w:r w:rsidR="00DD219A" w:rsidRPr="001D6573">
        <w:t>Regional Haze Compliance Strategy</w:t>
      </w:r>
    </w:p>
    <w:p w14:paraId="5F81AC95" w14:textId="53F8CF08" w:rsidR="00CA448C" w:rsidRDefault="00E17B87" w:rsidP="008105BD">
      <w:r>
        <w:t>T</w:t>
      </w:r>
      <w:r w:rsidR="00CA448C">
        <w:t>he existing scrubbers at Plant Bowen are used to comply with Regional Haze requirements. While the adoption of the existing MATS SO</w:t>
      </w:r>
      <w:r w:rsidR="00CA448C" w:rsidRPr="002575AB">
        <w:rPr>
          <w:vertAlign w:val="subscript"/>
        </w:rPr>
        <w:t>2</w:t>
      </w:r>
      <w:r w:rsidR="00CA448C">
        <w:t xml:space="preserve"> limit at Bowen remove</w:t>
      </w:r>
      <w:r w:rsidR="006C7153">
        <w:t>d</w:t>
      </w:r>
      <w:r w:rsidR="00CA448C">
        <w:t xml:space="preserve"> the flexibility to use both the HCl and SO</w:t>
      </w:r>
      <w:r w:rsidR="00CA448C" w:rsidRPr="002575AB">
        <w:rPr>
          <w:vertAlign w:val="subscript"/>
        </w:rPr>
        <w:t>2</w:t>
      </w:r>
      <w:r w:rsidR="00CA448C">
        <w:t xml:space="preserve"> compliance options available in the MATS rule, no incremental controls or projects </w:t>
      </w:r>
      <w:r w:rsidR="00917AAE">
        <w:t>are</w:t>
      </w:r>
      <w:r w:rsidR="00CA448C">
        <w:t xml:space="preserve"> required to comply.</w:t>
      </w:r>
      <w:r w:rsidR="00917AAE">
        <w:t xml:space="preserve"> Additionally, the existing SO</w:t>
      </w:r>
      <w:r w:rsidR="00917AAE" w:rsidRPr="002575AB">
        <w:rPr>
          <w:vertAlign w:val="subscript"/>
        </w:rPr>
        <w:t>2</w:t>
      </w:r>
      <w:r w:rsidR="00917AAE">
        <w:t xml:space="preserve"> CEMS installed on Bowen Units 1-4 are used to demonstrate compliance with the</w:t>
      </w:r>
      <w:r w:rsidR="00E91682">
        <w:t xml:space="preserve"> </w:t>
      </w:r>
      <w:r w:rsidR="00486FB2">
        <w:t>Regional Haze SIP</w:t>
      </w:r>
      <w:r w:rsidR="00917AAE">
        <w:t xml:space="preserve"> emissions limit.</w:t>
      </w:r>
    </w:p>
    <w:p w14:paraId="0CC6ADB8" w14:textId="0C8FA830" w:rsidR="00CA448C" w:rsidRPr="0042320F" w:rsidRDefault="00CA448C" w:rsidP="0042320F">
      <w:pPr>
        <w:pStyle w:val="Heading3"/>
      </w:pPr>
      <w:bookmarkStart w:id="61" w:name="_Toc130201012"/>
      <w:bookmarkStart w:id="62" w:name="_Toc188252327"/>
      <w:r w:rsidRPr="0042320F">
        <w:t>2.</w:t>
      </w:r>
      <w:r w:rsidR="00EA02BD" w:rsidRPr="0042320F">
        <w:t>3</w:t>
      </w:r>
      <w:r w:rsidRPr="0042320F">
        <w:t>.5 New Source Review and Other Air Permitting Regulations</w:t>
      </w:r>
      <w:bookmarkEnd w:id="61"/>
      <w:bookmarkEnd w:id="62"/>
    </w:p>
    <w:p w14:paraId="3D031A4D" w14:textId="0722217F" w:rsidR="00CA448C" w:rsidRDefault="00CA448C" w:rsidP="008105BD">
      <w:r>
        <w:t xml:space="preserve">Facilities that include activities with associated emissions may be required to obtain </w:t>
      </w:r>
      <w:r w:rsidR="008960A0">
        <w:t xml:space="preserve">an </w:t>
      </w:r>
      <w:r>
        <w:t xml:space="preserve">air permit to authorize construction and/or operation. The most resource-intensive and stringent type of permitting is typically termed major New Source Review (“NSR”), which includes both federal and state requirements applicable to new sources or projects at existing sites that result in emissions over </w:t>
      </w:r>
      <w:r w:rsidR="008029D4">
        <w:t>certain</w:t>
      </w:r>
      <w:r>
        <w:t xml:space="preserve"> threshold</w:t>
      </w:r>
      <w:r w:rsidR="008029D4">
        <w:t>s</w:t>
      </w:r>
      <w:r>
        <w:t xml:space="preserve">. Sources or projects that do not require </w:t>
      </w:r>
      <w:r w:rsidR="008A5624">
        <w:t>major</w:t>
      </w:r>
      <w:r>
        <w:t xml:space="preserve"> NSR may still need to obtain construction or operation authorization through a state or minor air permit.</w:t>
      </w:r>
      <w:r w:rsidR="005F5540">
        <w:t xml:space="preserve"> </w:t>
      </w:r>
    </w:p>
    <w:p w14:paraId="3B14C720" w14:textId="77777777" w:rsidR="00CA448C" w:rsidRPr="00FC6194" w:rsidRDefault="00CA448C" w:rsidP="00060673">
      <w:pPr>
        <w:pStyle w:val="Smallheading3notoc"/>
      </w:pPr>
      <w:r w:rsidRPr="00060673">
        <w:rPr>
          <w:color w:val="2F5496" w:themeColor="accent1" w:themeShade="BF"/>
        </w:rPr>
        <w:t>New Source Review (40 CFR 52.21)</w:t>
      </w:r>
    </w:p>
    <w:p w14:paraId="2727F796" w14:textId="00783B18" w:rsidR="00CA448C" w:rsidRPr="00DB7156" w:rsidRDefault="001E2D98" w:rsidP="008105BD">
      <w:r>
        <w:t xml:space="preserve">Major </w:t>
      </w:r>
      <w:r w:rsidR="00CA448C">
        <w:t>NSR</w:t>
      </w:r>
      <w:r w:rsidR="00CA448C" w:rsidRPr="00DB7156">
        <w:t xml:space="preserve"> is a pre-construction permitting program under the </w:t>
      </w:r>
      <w:r w:rsidR="00CA448C">
        <w:t>CAA</w:t>
      </w:r>
      <w:r w:rsidR="00CA448C" w:rsidRPr="00DB7156">
        <w:t xml:space="preserve"> that </w:t>
      </w:r>
      <w:r w:rsidR="00CA448C">
        <w:t xml:space="preserve">is required of new sources or </w:t>
      </w:r>
      <w:r w:rsidR="00CA448C" w:rsidRPr="00DB7156">
        <w:t>can be triggered by changes to an</w:t>
      </w:r>
      <w:r w:rsidR="00CA448C">
        <w:t xml:space="preserve"> existing</w:t>
      </w:r>
      <w:r w:rsidR="00CA448C" w:rsidRPr="00DB7156">
        <w:t xml:space="preserve"> emissions source that result in a “significant” increase of a regulated NSR pollutant. </w:t>
      </w:r>
      <w:r w:rsidR="00CA448C">
        <w:t xml:space="preserve">While the </w:t>
      </w:r>
      <w:r>
        <w:t>major</w:t>
      </w:r>
      <w:r w:rsidR="00CA448C">
        <w:t xml:space="preserve"> NSR program was established by the 1977 </w:t>
      </w:r>
      <w:r w:rsidR="00E75E21">
        <w:t>Clean Air Act Amendments</w:t>
      </w:r>
      <w:r w:rsidR="00CA448C">
        <w:t xml:space="preserve">, </w:t>
      </w:r>
      <w:r w:rsidR="00FE0B82">
        <w:t>the</w:t>
      </w:r>
      <w:r w:rsidR="00FE0B82" w:rsidRPr="00DB7156">
        <w:t xml:space="preserve"> </w:t>
      </w:r>
      <w:r w:rsidR="00CA448C" w:rsidRPr="00DB7156">
        <w:t>regulations</w:t>
      </w:r>
      <w:r w:rsidR="00CA448C">
        <w:t xml:space="preserve">, EPA’s </w:t>
      </w:r>
      <w:r w:rsidR="00CA448C" w:rsidRPr="00DB7156">
        <w:t xml:space="preserve">interpretation </w:t>
      </w:r>
      <w:r w:rsidR="00CA448C">
        <w:t xml:space="preserve">of the requirements, and EPA’s guidance have changed over time. </w:t>
      </w:r>
      <w:r w:rsidR="003F21EA">
        <w:t xml:space="preserve">Georgia EPD is the </w:t>
      </w:r>
      <w:r w:rsidR="00F0556C">
        <w:t xml:space="preserve">approved </w:t>
      </w:r>
      <w:r w:rsidR="003F21EA">
        <w:t>permitting authority for Georgia</w:t>
      </w:r>
      <w:r w:rsidR="00DF19C5">
        <w:t xml:space="preserve">. </w:t>
      </w:r>
      <w:r w:rsidR="00F30BED">
        <w:t xml:space="preserve">If a project triggers </w:t>
      </w:r>
      <w:r w:rsidR="00FE0B82">
        <w:t>major</w:t>
      </w:r>
      <w:r w:rsidR="00F30BED">
        <w:t xml:space="preserve"> NSR, a</w:t>
      </w:r>
      <w:r w:rsidR="00CF2884">
        <w:t xml:space="preserve">pplicants must submit a </w:t>
      </w:r>
      <w:r w:rsidR="00CA448C">
        <w:t>case-by-case analysis of control technologies and emission reductions that are feasible at a particular facility</w:t>
      </w:r>
      <w:r w:rsidR="008648E9">
        <w:t xml:space="preserve">, as well as air quality modeling to </w:t>
      </w:r>
      <w:r w:rsidR="00C36B6A">
        <w:t xml:space="preserve">ensure </w:t>
      </w:r>
      <w:r w:rsidR="00C36B6A">
        <w:lastRenderedPageBreak/>
        <w:t>the project</w:t>
      </w:r>
      <w:r w:rsidR="00EA4259">
        <w:t xml:space="preserve"> maintains air quality</w:t>
      </w:r>
      <w:r w:rsidR="00F30BED">
        <w:t xml:space="preserve">. </w:t>
      </w:r>
      <w:r w:rsidR="00C41901">
        <w:t xml:space="preserve">As there are no areas in the state currently designated as nonattainment </w:t>
      </w:r>
      <w:r w:rsidR="00ED2E57">
        <w:t xml:space="preserve">with </w:t>
      </w:r>
      <w:r w:rsidR="00585E98">
        <w:t>air quality standards,</w:t>
      </w:r>
      <w:r w:rsidR="00ED2E57">
        <w:t xml:space="preserve"> </w:t>
      </w:r>
      <w:r w:rsidR="00CF2884">
        <w:t>Georgia EPD review</w:t>
      </w:r>
      <w:r w:rsidR="002A66DD">
        <w:t>s</w:t>
      </w:r>
      <w:r w:rsidR="00CF2884">
        <w:t xml:space="preserve"> and approv</w:t>
      </w:r>
      <w:r w:rsidR="002A66DD">
        <w:t>es of the air permit application</w:t>
      </w:r>
      <w:r w:rsidR="00CF2884">
        <w:t xml:space="preserve"> through issuance of </w:t>
      </w:r>
      <w:r w:rsidR="00E713DD">
        <w:t xml:space="preserve">a </w:t>
      </w:r>
      <w:r w:rsidR="00C36B6A">
        <w:t>Prevention of Significant Deterioration (“PSD”)</w:t>
      </w:r>
      <w:r w:rsidR="00E713DD">
        <w:t xml:space="preserve"> permit</w:t>
      </w:r>
      <w:r w:rsidR="00CA448C">
        <w:t>.</w:t>
      </w:r>
    </w:p>
    <w:p w14:paraId="13B977D7" w14:textId="5E0340F8" w:rsidR="00FA7DF4" w:rsidRDefault="00CA448C" w:rsidP="008105BD">
      <w:pPr>
        <w:rPr>
          <w:rFonts w:eastAsiaTheme="majorEastAsia" w:cstheme="majorBidi"/>
          <w:b/>
          <w:bCs/>
          <w:color w:val="2F5496" w:themeColor="accent1" w:themeShade="BF"/>
        </w:rPr>
      </w:pPr>
      <w:r w:rsidRPr="00DB7156">
        <w:t xml:space="preserve">In 1999, </w:t>
      </w:r>
      <w:r>
        <w:t>under a broad nationwide enforcement initiative</w:t>
      </w:r>
      <w:r w:rsidRPr="00DB7156">
        <w:t xml:space="preserve">, EPA brought a civil action in the U.S. District Court for the Northern District of Georgia against Georgia Power, alleging that </w:t>
      </w:r>
      <w:r w:rsidR="006F2AAE">
        <w:t>the Company</w:t>
      </w:r>
      <w:r w:rsidRPr="00DB7156">
        <w:t xml:space="preserve"> had violated the </w:t>
      </w:r>
      <w:r w:rsidR="002B02CB">
        <w:t xml:space="preserve">major </w:t>
      </w:r>
      <w:r w:rsidRPr="00DB7156">
        <w:t>NSR provisions of the CAA and related state laws at certain coal-fired generating facilities. The civil action sought penalties and injunctive relief, including an order requiring installation of the best available control technology at the affected units. The case against Georgia Power was administratively closed in 2001 and has not been reopened.</w:t>
      </w:r>
      <w:r w:rsidR="007C14B7">
        <w:t xml:space="preserve"> </w:t>
      </w:r>
    </w:p>
    <w:p w14:paraId="208314B1" w14:textId="529097AA" w:rsidR="6FA8F60F" w:rsidRPr="00060673" w:rsidRDefault="6FA8F60F" w:rsidP="00060673">
      <w:pPr>
        <w:pStyle w:val="Smallheading3notoc"/>
        <w:rPr>
          <w:i/>
        </w:rPr>
      </w:pPr>
      <w:r w:rsidRPr="00060673">
        <w:rPr>
          <w:i/>
        </w:rPr>
        <w:t>New Regulatory Updates</w:t>
      </w:r>
    </w:p>
    <w:p w14:paraId="63DC3191" w14:textId="6B6C08A0" w:rsidR="5EA1F949" w:rsidRDefault="08FDDE80" w:rsidP="008105BD">
      <w:pPr>
        <w:pStyle w:val="ListParagraph"/>
        <w:numPr>
          <w:ilvl w:val="0"/>
          <w:numId w:val="27"/>
        </w:numPr>
        <w:spacing w:line="259" w:lineRule="auto"/>
        <w:ind w:left="720"/>
        <w:rPr>
          <w:rFonts w:asciiTheme="minorHAnsi" w:eastAsiaTheme="minorEastAsia" w:hAnsiTheme="minorHAnsi"/>
          <w:sz w:val="22"/>
        </w:rPr>
      </w:pPr>
      <w:r w:rsidRPr="6E64E87E">
        <w:rPr>
          <w:rFonts w:asciiTheme="minorHAnsi" w:eastAsiaTheme="minorEastAsia" w:hAnsiTheme="minorHAnsi"/>
          <w:sz w:val="22"/>
        </w:rPr>
        <w:t xml:space="preserve">On May 3, 2024, EPA </w:t>
      </w:r>
      <w:r w:rsidRPr="67BF8BB2">
        <w:rPr>
          <w:rFonts w:asciiTheme="minorHAnsi" w:eastAsiaTheme="minorEastAsia" w:hAnsiTheme="minorHAnsi"/>
          <w:sz w:val="22"/>
        </w:rPr>
        <w:t xml:space="preserve">published </w:t>
      </w:r>
      <w:r w:rsidR="00A80A87">
        <w:rPr>
          <w:rFonts w:asciiTheme="minorHAnsi" w:eastAsiaTheme="minorEastAsia" w:hAnsiTheme="minorHAnsi"/>
          <w:sz w:val="22"/>
        </w:rPr>
        <w:t>the</w:t>
      </w:r>
      <w:r w:rsidRPr="60F2C1F2">
        <w:rPr>
          <w:rFonts w:asciiTheme="minorHAnsi" w:eastAsiaTheme="minorEastAsia" w:hAnsiTheme="minorHAnsi"/>
          <w:sz w:val="22"/>
        </w:rPr>
        <w:t xml:space="preserve"> Project</w:t>
      </w:r>
      <w:r w:rsidRPr="0E63210A">
        <w:rPr>
          <w:rFonts w:asciiTheme="minorHAnsi" w:eastAsiaTheme="minorEastAsia" w:hAnsiTheme="minorHAnsi"/>
          <w:sz w:val="22"/>
        </w:rPr>
        <w:t xml:space="preserve"> Emissions </w:t>
      </w:r>
      <w:r w:rsidR="0AFDFEA6" w:rsidRPr="284D363D">
        <w:rPr>
          <w:rFonts w:asciiTheme="minorHAnsi" w:eastAsiaTheme="minorEastAsia" w:hAnsiTheme="minorHAnsi"/>
          <w:sz w:val="22"/>
        </w:rPr>
        <w:t>Accounting</w:t>
      </w:r>
      <w:r w:rsidRPr="71417BDF">
        <w:rPr>
          <w:rFonts w:asciiTheme="minorHAnsi" w:eastAsiaTheme="minorEastAsia" w:hAnsiTheme="minorHAnsi"/>
          <w:sz w:val="22"/>
        </w:rPr>
        <w:t xml:space="preserve"> Proposed Rule. </w:t>
      </w:r>
      <w:r w:rsidRPr="259AB423">
        <w:rPr>
          <w:rFonts w:asciiTheme="minorHAnsi" w:eastAsiaTheme="minorEastAsia" w:hAnsiTheme="minorHAnsi"/>
          <w:sz w:val="22"/>
        </w:rPr>
        <w:t xml:space="preserve">This proposal’s guidance </w:t>
      </w:r>
      <w:r w:rsidRPr="44482C3A">
        <w:rPr>
          <w:rFonts w:asciiTheme="minorHAnsi" w:eastAsiaTheme="minorEastAsia" w:hAnsiTheme="minorHAnsi"/>
          <w:sz w:val="22"/>
        </w:rPr>
        <w:t xml:space="preserve">asserts that states </w:t>
      </w:r>
      <w:r w:rsidR="73AC2E2E" w:rsidRPr="44482C3A">
        <w:rPr>
          <w:rFonts w:asciiTheme="minorHAnsi" w:eastAsiaTheme="minorEastAsia" w:hAnsiTheme="minorHAnsi"/>
          <w:sz w:val="22"/>
        </w:rPr>
        <w:t xml:space="preserve">should only </w:t>
      </w:r>
      <w:r w:rsidR="73AC2E2E" w:rsidRPr="21280340">
        <w:rPr>
          <w:rFonts w:asciiTheme="minorHAnsi" w:eastAsiaTheme="minorEastAsia" w:hAnsiTheme="minorHAnsi"/>
          <w:sz w:val="22"/>
        </w:rPr>
        <w:t>aggregate projects</w:t>
      </w:r>
      <w:r w:rsidR="73AC2E2E" w:rsidRPr="1088CE17">
        <w:rPr>
          <w:rFonts w:asciiTheme="minorHAnsi" w:eastAsiaTheme="minorEastAsia" w:hAnsiTheme="minorHAnsi"/>
          <w:sz w:val="22"/>
        </w:rPr>
        <w:t xml:space="preserve"> that are “substantially related</w:t>
      </w:r>
      <w:r w:rsidR="73AC2E2E" w:rsidRPr="57429E59">
        <w:rPr>
          <w:rFonts w:asciiTheme="minorHAnsi" w:eastAsiaTheme="minorEastAsia" w:hAnsiTheme="minorHAnsi"/>
          <w:sz w:val="22"/>
        </w:rPr>
        <w:t xml:space="preserve">.” </w:t>
      </w:r>
      <w:r w:rsidR="73AC2E2E" w:rsidRPr="43532ABC">
        <w:rPr>
          <w:rFonts w:asciiTheme="minorHAnsi" w:eastAsiaTheme="minorEastAsia" w:hAnsiTheme="minorHAnsi"/>
          <w:sz w:val="22"/>
        </w:rPr>
        <w:t xml:space="preserve">Before counting </w:t>
      </w:r>
      <w:r w:rsidR="73AC2E2E" w:rsidRPr="7A7CB7C2">
        <w:rPr>
          <w:rFonts w:asciiTheme="minorHAnsi" w:eastAsiaTheme="minorEastAsia" w:hAnsiTheme="minorHAnsi"/>
          <w:sz w:val="22"/>
        </w:rPr>
        <w:t xml:space="preserve">for “project </w:t>
      </w:r>
      <w:r w:rsidR="73AC2E2E" w:rsidRPr="1A26F5F7">
        <w:rPr>
          <w:rFonts w:asciiTheme="minorHAnsi" w:eastAsiaTheme="minorEastAsia" w:hAnsiTheme="minorHAnsi"/>
          <w:sz w:val="22"/>
        </w:rPr>
        <w:t>emissions accounting</w:t>
      </w:r>
      <w:r w:rsidR="49A36CC4" w:rsidRPr="300755A7">
        <w:rPr>
          <w:rFonts w:asciiTheme="minorHAnsi" w:eastAsiaTheme="minorEastAsia" w:hAnsiTheme="minorHAnsi"/>
          <w:sz w:val="22"/>
        </w:rPr>
        <w:t>,</w:t>
      </w:r>
      <w:r w:rsidR="73AC2E2E" w:rsidRPr="300755A7">
        <w:rPr>
          <w:rFonts w:asciiTheme="minorHAnsi" w:eastAsiaTheme="minorEastAsia" w:hAnsiTheme="minorHAnsi"/>
          <w:sz w:val="22"/>
        </w:rPr>
        <w:t>”</w:t>
      </w:r>
      <w:r w:rsidR="73AC2E2E" w:rsidRPr="6CF41CAB">
        <w:rPr>
          <w:rFonts w:asciiTheme="minorHAnsi" w:eastAsiaTheme="minorEastAsia" w:hAnsiTheme="minorHAnsi"/>
          <w:sz w:val="22"/>
        </w:rPr>
        <w:t xml:space="preserve"> the proposal </w:t>
      </w:r>
      <w:r w:rsidR="73AC2E2E" w:rsidRPr="4CBE5232">
        <w:rPr>
          <w:rFonts w:asciiTheme="minorHAnsi" w:eastAsiaTheme="minorEastAsia" w:hAnsiTheme="minorHAnsi"/>
          <w:sz w:val="22"/>
        </w:rPr>
        <w:t xml:space="preserve">requires </w:t>
      </w:r>
      <w:r w:rsidR="73AC2E2E" w:rsidRPr="65AB3D78">
        <w:rPr>
          <w:rFonts w:asciiTheme="minorHAnsi" w:eastAsiaTheme="minorEastAsia" w:hAnsiTheme="minorHAnsi"/>
          <w:sz w:val="22"/>
        </w:rPr>
        <w:t>decrea</w:t>
      </w:r>
      <w:r w:rsidR="2213E2D0" w:rsidRPr="65AB3D78">
        <w:rPr>
          <w:rFonts w:asciiTheme="minorHAnsi" w:eastAsiaTheme="minorEastAsia" w:hAnsiTheme="minorHAnsi"/>
          <w:sz w:val="22"/>
        </w:rPr>
        <w:t xml:space="preserve">ses to be made </w:t>
      </w:r>
      <w:r w:rsidR="2213E2D0" w:rsidRPr="3298B5DE">
        <w:rPr>
          <w:rFonts w:asciiTheme="minorHAnsi" w:eastAsiaTheme="minorEastAsia" w:hAnsiTheme="minorHAnsi"/>
          <w:sz w:val="22"/>
        </w:rPr>
        <w:t xml:space="preserve">enforceable. </w:t>
      </w:r>
      <w:r w:rsidR="2213E2D0" w:rsidRPr="05BCFEF4">
        <w:rPr>
          <w:rFonts w:asciiTheme="minorHAnsi" w:eastAsiaTheme="minorEastAsia" w:hAnsiTheme="minorHAnsi"/>
          <w:sz w:val="22"/>
        </w:rPr>
        <w:t xml:space="preserve">The proposal also reviews </w:t>
      </w:r>
      <w:r w:rsidR="2213E2D0" w:rsidRPr="36671775">
        <w:rPr>
          <w:rFonts w:asciiTheme="minorHAnsi" w:eastAsiaTheme="minorEastAsia" w:hAnsiTheme="minorHAnsi"/>
          <w:sz w:val="22"/>
        </w:rPr>
        <w:t xml:space="preserve">the monitoring, </w:t>
      </w:r>
      <w:r w:rsidR="2213E2D0" w:rsidRPr="67BB2F6C">
        <w:rPr>
          <w:rFonts w:asciiTheme="minorHAnsi" w:eastAsiaTheme="minorEastAsia" w:hAnsiTheme="minorHAnsi"/>
          <w:sz w:val="22"/>
        </w:rPr>
        <w:t xml:space="preserve">recordkeeping, and reporting </w:t>
      </w:r>
      <w:r w:rsidR="2213E2D0" w:rsidRPr="5FF532CF">
        <w:rPr>
          <w:rFonts w:asciiTheme="minorHAnsi" w:eastAsiaTheme="minorEastAsia" w:hAnsiTheme="minorHAnsi"/>
          <w:sz w:val="22"/>
        </w:rPr>
        <w:t xml:space="preserve">provisions. </w:t>
      </w:r>
    </w:p>
    <w:p w14:paraId="38A280EC" w14:textId="4AFE2AB6" w:rsidR="00CA448C" w:rsidRPr="00060673" w:rsidRDefault="00CA448C" w:rsidP="00060673">
      <w:pPr>
        <w:pStyle w:val="Smallheading3notoc"/>
        <w:rPr>
          <w:sz w:val="28"/>
          <w:szCs w:val="28"/>
        </w:rPr>
      </w:pPr>
      <w:r w:rsidRPr="00060673">
        <w:rPr>
          <w:color w:val="2F5496" w:themeColor="accent1" w:themeShade="BF"/>
        </w:rPr>
        <w:t>Other Air Permitting (40 CFR 70, GA Rule 391-3-1-.03)</w:t>
      </w:r>
    </w:p>
    <w:p w14:paraId="3D943611" w14:textId="089CDCF1" w:rsidR="00BE6357" w:rsidRPr="00BE6357" w:rsidRDefault="00CA448C" w:rsidP="008105BD">
      <w:r>
        <w:t>For projects that do</w:t>
      </w:r>
      <w:r w:rsidR="7F4F203C">
        <w:t xml:space="preserve"> </w:t>
      </w:r>
      <w:r>
        <w:t>n</w:t>
      </w:r>
      <w:r w:rsidR="19484BC8">
        <w:t>o</w:t>
      </w:r>
      <w:r>
        <w:t xml:space="preserve">t require </w:t>
      </w:r>
      <w:r w:rsidR="002B02CB">
        <w:t>major</w:t>
      </w:r>
      <w:r>
        <w:t xml:space="preserve"> NSR permitting, Georgia may still require a construction or operating permit through the Title V </w:t>
      </w:r>
      <w:r w:rsidR="00664D80">
        <w:t>program</w:t>
      </w:r>
      <w:r>
        <w:t xml:space="preserve">, which compiles all applicable air requirements for </w:t>
      </w:r>
      <w:r w:rsidR="00381B7D">
        <w:t xml:space="preserve">major </w:t>
      </w:r>
      <w:r>
        <w:t xml:space="preserve">sources, or through the minor source permitting programs, typically for smaller sources. These types of permitting </w:t>
      </w:r>
      <w:r w:rsidR="00C41901">
        <w:t xml:space="preserve">actions </w:t>
      </w:r>
      <w:r>
        <w:t xml:space="preserve">are typically simpler and less resource intensive than NSR permitting. </w:t>
      </w:r>
      <w:r w:rsidR="00BE6357" w:rsidRPr="00BE6357">
        <w:t xml:space="preserve">In the Fall of 2022, EPA conducted stakeholder engagement sessions focused on permitting that </w:t>
      </w:r>
      <w:r w:rsidR="00C34BC7">
        <w:t>is</w:t>
      </w:r>
      <w:r w:rsidR="00C34BC7" w:rsidRPr="00BE6357">
        <w:t xml:space="preserve"> </w:t>
      </w:r>
      <w:r w:rsidR="00BE6357" w:rsidRPr="00BE6357">
        <w:t xml:space="preserve">not </w:t>
      </w:r>
      <w:r w:rsidR="00C34BC7">
        <w:t>subject to</w:t>
      </w:r>
      <w:r w:rsidR="00C34BC7" w:rsidRPr="00BE6357">
        <w:t xml:space="preserve"> </w:t>
      </w:r>
      <w:r w:rsidR="00BE6357" w:rsidRPr="00BE6357">
        <w:t xml:space="preserve">major NSR. EPA indicated their efforts will focus on reviewing state and local agency’s minor </w:t>
      </w:r>
      <w:r w:rsidR="000874DD">
        <w:t xml:space="preserve">source </w:t>
      </w:r>
      <w:r w:rsidR="00BE6357" w:rsidRPr="00BE6357">
        <w:t xml:space="preserve">permitting programs to verify they provide adequate protection of the NAAQS and transparency to the public. </w:t>
      </w:r>
    </w:p>
    <w:p w14:paraId="11BF6CE8" w14:textId="77777777" w:rsidR="00CA448C" w:rsidRPr="00060673" w:rsidRDefault="00CA448C" w:rsidP="00060673">
      <w:pPr>
        <w:pStyle w:val="Smallheading3notoc"/>
        <w:rPr>
          <w:color w:val="2F5496" w:themeColor="accent1" w:themeShade="BF"/>
        </w:rPr>
      </w:pPr>
      <w:r w:rsidRPr="00060673">
        <w:rPr>
          <w:color w:val="2F5496" w:themeColor="accent1" w:themeShade="BF"/>
        </w:rPr>
        <w:t>GHG Air Permitting (40 CFR § 51.166(b)(48))</w:t>
      </w:r>
    </w:p>
    <w:p w14:paraId="77C1CB48" w14:textId="352D5BA8" w:rsidR="00CA448C" w:rsidRDefault="00CA448C" w:rsidP="008105BD">
      <w:r>
        <w:t>I</w:t>
      </w:r>
      <w:r w:rsidRPr="00DB7156">
        <w:t>n April 2010, EPA issued a final rule regulating GHG emissions from new motor vehicles under the CAA</w:t>
      </w:r>
      <w:r>
        <w:t>, taking</w:t>
      </w:r>
      <w:r w:rsidRPr="00DB7156">
        <w:t xml:space="preserve"> the position that</w:t>
      </w:r>
      <w:r>
        <w:t xml:space="preserve"> this action then triggered </w:t>
      </w:r>
      <w:r w:rsidRPr="00DB7156">
        <w:t>CO</w:t>
      </w:r>
      <w:r w:rsidRPr="00DB7156">
        <w:rPr>
          <w:vertAlign w:val="subscript"/>
        </w:rPr>
        <w:t>2</w:t>
      </w:r>
      <w:r w:rsidRPr="00DB7156">
        <w:t xml:space="preserve"> and other GHGs </w:t>
      </w:r>
      <w:r>
        <w:t xml:space="preserve">to </w:t>
      </w:r>
      <w:r w:rsidRPr="00DB7156">
        <w:t>bec</w:t>
      </w:r>
      <w:r>
        <w:t>o</w:t>
      </w:r>
      <w:r w:rsidRPr="00DB7156">
        <w:t xml:space="preserve">me regulated pollutants under the </w:t>
      </w:r>
      <w:r>
        <w:t xml:space="preserve">NSR </w:t>
      </w:r>
      <w:r w:rsidRPr="00DB7156">
        <w:t>preconstruction permit program and the Title V operating permit program.</w:t>
      </w:r>
      <w:r w:rsidR="007C14B7">
        <w:t xml:space="preserve"> </w:t>
      </w:r>
      <w:r w:rsidRPr="00DB7156">
        <w:t xml:space="preserve">As a result, the construction of new facilities or the major modification of existing </w:t>
      </w:r>
      <w:r>
        <w:t>power plants</w:t>
      </w:r>
      <w:r w:rsidRPr="00DB7156">
        <w:t xml:space="preserve"> could trigger the requirement for a </w:t>
      </w:r>
      <w:r w:rsidR="00C54DD6">
        <w:t>Prevention of Significant Deterioration (“</w:t>
      </w:r>
      <w:r w:rsidRPr="00DB7156">
        <w:t>PSD</w:t>
      </w:r>
      <w:r w:rsidR="00C54DD6">
        <w:t>”)</w:t>
      </w:r>
      <w:r w:rsidRPr="00DB7156">
        <w:t xml:space="preserve"> permit and the installation of </w:t>
      </w:r>
      <w:r>
        <w:t xml:space="preserve">controls to reduce </w:t>
      </w:r>
      <w:r w:rsidRPr="00DB7156">
        <w:t>CO</w:t>
      </w:r>
      <w:r w:rsidRPr="00DB7156">
        <w:rPr>
          <w:vertAlign w:val="subscript"/>
        </w:rPr>
        <w:t>2</w:t>
      </w:r>
      <w:r w:rsidRPr="00DB7156">
        <w:t xml:space="preserve"> and other GHGs</w:t>
      </w:r>
      <w:r>
        <w:t>, under the GHG Tailoring Rule</w:t>
      </w:r>
      <w:r w:rsidR="00C20EAD">
        <w:t>,</w:t>
      </w:r>
      <w:r>
        <w:t xml:space="preserve"> finalized in May 2010.</w:t>
      </w:r>
    </w:p>
    <w:p w14:paraId="04687846" w14:textId="630D92C7" w:rsidR="001013AD" w:rsidRPr="00BE6357" w:rsidRDefault="00CA448C" w:rsidP="008105BD">
      <w:r>
        <w:t>In June 2014, the Supreme Court ruled that EPA could not use either its PSD or Title V permitting programs to require permits solely based on GHG emissions but could require applicants that triggered permitting for other pollutants to undertake GHG analysis.</w:t>
      </w:r>
      <w:r w:rsidR="007C14B7">
        <w:t xml:space="preserve"> </w:t>
      </w:r>
      <w:r w:rsidR="00E65E2A">
        <w:t xml:space="preserve">In August 2015, EPA </w:t>
      </w:r>
      <w:r w:rsidR="00781356">
        <w:t>removed</w:t>
      </w:r>
      <w:r w:rsidR="00C74746">
        <w:t xml:space="preserve"> </w:t>
      </w:r>
      <w:r w:rsidR="00781356">
        <w:t xml:space="preserve">portions </w:t>
      </w:r>
      <w:r w:rsidR="00336800">
        <w:t xml:space="preserve">of the Title V and PSD regulations that were vacated </w:t>
      </w:r>
      <w:proofErr w:type="gramStart"/>
      <w:r w:rsidR="00336800">
        <w:t xml:space="preserve">as </w:t>
      </w:r>
      <w:r w:rsidR="000748E5">
        <w:t>a result of</w:t>
      </w:r>
      <w:proofErr w:type="gramEnd"/>
      <w:r w:rsidR="000748E5">
        <w:t xml:space="preserve"> the</w:t>
      </w:r>
      <w:r w:rsidR="0002047D">
        <w:t xml:space="preserve"> Supreme Court decision.</w:t>
      </w:r>
      <w:r w:rsidRPr="00764E94">
        <w:t xml:space="preserve"> </w:t>
      </w:r>
      <w:r w:rsidR="007C14B7">
        <w:t xml:space="preserve"> </w:t>
      </w:r>
    </w:p>
    <w:p w14:paraId="3308E6B1" w14:textId="7C14BC9E" w:rsidR="00CA448C" w:rsidRPr="001D6573" w:rsidRDefault="00DA238A" w:rsidP="00DA48F0">
      <w:pPr>
        <w:pStyle w:val="Heading4"/>
      </w:pPr>
      <w:r w:rsidRPr="001D6573">
        <w:lastRenderedPageBreak/>
        <w:t>2.3.5.1</w:t>
      </w:r>
      <w:r w:rsidRPr="001D6573">
        <w:tab/>
      </w:r>
      <w:r w:rsidR="00DD219A" w:rsidRPr="001D6573">
        <w:t>NSR and Other Air Permitting Compliance Strategy</w:t>
      </w:r>
    </w:p>
    <w:p w14:paraId="7786E42C" w14:textId="3A967D3F" w:rsidR="00CA448C" w:rsidRDefault="00CA448C" w:rsidP="008105BD">
      <w:r>
        <w:t>Georgia Power reviews projects for permitting applicability</w:t>
      </w:r>
      <w:r w:rsidR="00601B42">
        <w:t>,</w:t>
      </w:r>
      <w:r>
        <w:t xml:space="preserve"> obtains permits when required</w:t>
      </w:r>
      <w:r w:rsidR="00601B42">
        <w:t>,</w:t>
      </w:r>
      <w:r w:rsidR="00EB2BE1">
        <w:t xml:space="preserve"> and will </w:t>
      </w:r>
      <w:r>
        <w:t>continue to monitor any developments on permitting regulations, policy, and guidance.</w:t>
      </w:r>
      <w:r w:rsidR="00B16263">
        <w:t xml:space="preserve"> </w:t>
      </w:r>
      <w:r w:rsidR="0073403B">
        <w:t xml:space="preserve">Plant </w:t>
      </w:r>
      <w:r w:rsidR="00B11262">
        <w:t xml:space="preserve">Yates Units 8-10 simple cycle </w:t>
      </w:r>
      <w:r w:rsidR="002D72D4">
        <w:t>CTs</w:t>
      </w:r>
      <w:r w:rsidR="00B11262">
        <w:t xml:space="preserve"> were reviewed </w:t>
      </w:r>
      <w:r w:rsidR="007708B6">
        <w:t xml:space="preserve">for air permitting applicability, and the Company determined that the project would require a </w:t>
      </w:r>
      <w:r w:rsidR="00207CE0">
        <w:t xml:space="preserve">PSD permit to authorize construction. </w:t>
      </w:r>
      <w:r w:rsidR="00B11262">
        <w:t>The air permit application was submitted</w:t>
      </w:r>
      <w:r w:rsidR="00EB0307">
        <w:t xml:space="preserve"> on December 8, 2023</w:t>
      </w:r>
      <w:r w:rsidR="00274AA6">
        <w:t>. The environmental compliance strategy for Plant Yates Units 8</w:t>
      </w:r>
      <w:r w:rsidR="00D31E04">
        <w:t>-</w:t>
      </w:r>
      <w:r w:rsidR="00274AA6">
        <w:t xml:space="preserve">10 </w:t>
      </w:r>
      <w:r w:rsidR="00BD74A2">
        <w:t xml:space="preserve">includes SCR and oxidation catalyst technology on </w:t>
      </w:r>
      <w:r w:rsidR="00A3061D">
        <w:t xml:space="preserve">the </w:t>
      </w:r>
      <w:r w:rsidR="00B7275E">
        <w:t xml:space="preserve">dual fuel </w:t>
      </w:r>
      <w:r w:rsidR="00BD74A2">
        <w:t xml:space="preserve">advanced </w:t>
      </w:r>
      <w:r w:rsidR="00A92830">
        <w:t xml:space="preserve">class </w:t>
      </w:r>
      <w:r w:rsidR="006E7D53">
        <w:t>CTs</w:t>
      </w:r>
      <w:r w:rsidR="002A39C3">
        <w:t xml:space="preserve"> </w:t>
      </w:r>
      <w:proofErr w:type="gramStart"/>
      <w:r w:rsidR="002A39C3">
        <w:t>in order to</w:t>
      </w:r>
      <w:proofErr w:type="gramEnd"/>
      <w:r w:rsidR="002A39C3">
        <w:t xml:space="preserve"> meet state and federal emission standards</w:t>
      </w:r>
      <w:r w:rsidR="000E0539">
        <w:t xml:space="preserve"> and to fulfill the </w:t>
      </w:r>
      <w:r w:rsidR="00CF1D8C">
        <w:t>case-by-case control technology evaluation</w:t>
      </w:r>
      <w:r w:rsidR="00077CAA">
        <w:t xml:space="preserve"> required for PSD permitting</w:t>
      </w:r>
      <w:r w:rsidR="00CF1D8C">
        <w:t>.</w:t>
      </w:r>
      <w:r w:rsidR="0038348E">
        <w:t xml:space="preserve"> </w:t>
      </w:r>
      <w:r w:rsidR="008D1EEA">
        <w:t xml:space="preserve">Plant Yates </w:t>
      </w:r>
      <w:proofErr w:type="gramStart"/>
      <w:r w:rsidR="008D1EEA">
        <w:t>is located in</w:t>
      </w:r>
      <w:proofErr w:type="gramEnd"/>
      <w:r w:rsidR="008D1EEA">
        <w:t xml:space="preserve"> Coweta County, which is in the former Atlanta ozone nonattainment area, and is subject to more stringent </w:t>
      </w:r>
      <w:r w:rsidR="002628B6" w:rsidRPr="00442755">
        <w:t>NO</w:t>
      </w:r>
      <w:r w:rsidR="002628B6">
        <w:t>x</w:t>
      </w:r>
      <w:r w:rsidR="008D1EEA">
        <w:t xml:space="preserve"> emission standards </w:t>
      </w:r>
      <w:r w:rsidR="00285256">
        <w:t>from May through September</w:t>
      </w:r>
      <w:r w:rsidR="00684BD1">
        <w:t>.</w:t>
      </w:r>
      <w:r w:rsidR="00285256">
        <w:t xml:space="preserve"> </w:t>
      </w:r>
      <w:r w:rsidR="00504865">
        <w:t>Although Units 8</w:t>
      </w:r>
      <w:r w:rsidR="007E40A1">
        <w:t>-</w:t>
      </w:r>
      <w:r w:rsidR="00504865">
        <w:t>10 will operate primarily on natural gas, t</w:t>
      </w:r>
      <w:r w:rsidR="00B7275E">
        <w:t xml:space="preserve">he compliance strategy and control configuration </w:t>
      </w:r>
      <w:r w:rsidR="00285256">
        <w:t xml:space="preserve">provide the plant with the flexibility to operate on either </w:t>
      </w:r>
      <w:r w:rsidR="00504865">
        <w:t xml:space="preserve">natural gas or </w:t>
      </w:r>
      <w:proofErr w:type="spellStart"/>
      <w:r w:rsidR="00504865">
        <w:t>ultra low</w:t>
      </w:r>
      <w:proofErr w:type="spellEnd"/>
      <w:r w:rsidR="00504865">
        <w:t xml:space="preserve"> sulfur diesel fuel </w:t>
      </w:r>
      <w:r w:rsidR="00285256">
        <w:t>throughout the year</w:t>
      </w:r>
      <w:r w:rsidR="0023207D">
        <w:t xml:space="preserve">, </w:t>
      </w:r>
      <w:r w:rsidR="008B6590">
        <w:t>ensuring</w:t>
      </w:r>
      <w:r w:rsidR="0023207D">
        <w:t xml:space="preserve"> a </w:t>
      </w:r>
      <w:r w:rsidR="00184E4C">
        <w:t>reliable</w:t>
      </w:r>
      <w:r w:rsidR="0023207D">
        <w:t xml:space="preserve"> capacity resource for customers</w:t>
      </w:r>
      <w:r w:rsidR="00285256">
        <w:t xml:space="preserve">. </w:t>
      </w:r>
      <w:r w:rsidR="036F5935">
        <w:t xml:space="preserve">Georgia EPD </w:t>
      </w:r>
      <w:r w:rsidR="59D74253">
        <w:t>issued the final PSD authorizing construc</w:t>
      </w:r>
      <w:r w:rsidR="6DAAAAFB">
        <w:t>t</w:t>
      </w:r>
      <w:r w:rsidR="59D74253">
        <w:t>ion of the Yates 8</w:t>
      </w:r>
      <w:r w:rsidR="007E40A1">
        <w:t>-</w:t>
      </w:r>
      <w:r w:rsidR="59D74253">
        <w:t xml:space="preserve">10 units </w:t>
      </w:r>
      <w:r w:rsidR="34293AC1">
        <w:t>on June 7, 2024</w:t>
      </w:r>
      <w:r w:rsidR="17C7E2BF">
        <w:t>.</w:t>
      </w:r>
    </w:p>
    <w:p w14:paraId="0CEC5DF4" w14:textId="29D815E3" w:rsidR="00CA448C" w:rsidRPr="008105BD" w:rsidRDefault="00CA448C" w:rsidP="00DA48F0">
      <w:pPr>
        <w:pStyle w:val="Heading3"/>
      </w:pPr>
      <w:bookmarkStart w:id="63" w:name="_Toc130201013"/>
      <w:bookmarkStart w:id="64" w:name="_Toc188252328"/>
      <w:r w:rsidRPr="00DA48F0">
        <w:t>2.</w:t>
      </w:r>
      <w:r w:rsidR="00EA02BD" w:rsidRPr="008105BD">
        <w:t>3</w:t>
      </w:r>
      <w:r w:rsidRPr="008105BD">
        <w:t>.6 Greenhouse Gas Emissions and Climate Policy</w:t>
      </w:r>
      <w:bookmarkEnd w:id="63"/>
      <w:bookmarkEnd w:id="64"/>
    </w:p>
    <w:p w14:paraId="62DD17C1" w14:textId="77777777" w:rsidR="00CA448C" w:rsidRPr="00161484" w:rsidRDefault="00CA448C" w:rsidP="00060673">
      <w:pPr>
        <w:pStyle w:val="Smallheading3notoc"/>
      </w:pPr>
      <w:r w:rsidRPr="00060673">
        <w:rPr>
          <w:color w:val="2F5496" w:themeColor="accent1" w:themeShade="BF"/>
        </w:rPr>
        <w:t>GHG and Renewable/Clean Energy Legislation</w:t>
      </w:r>
    </w:p>
    <w:p w14:paraId="56E53734" w14:textId="19AF202F" w:rsidR="00CA448C" w:rsidRDefault="00CA448C" w:rsidP="008105BD">
      <w:r>
        <w:t>T</w:t>
      </w:r>
      <w:r w:rsidRPr="00474030">
        <w:t>he U.S</w:t>
      </w:r>
      <w:r>
        <w:t xml:space="preserve">. </w:t>
      </w:r>
      <w:r w:rsidRPr="00474030">
        <w:t>Congress has considered many proposals to reduce GHG emissions and</w:t>
      </w:r>
      <w:r>
        <w:t>/or</w:t>
      </w:r>
      <w:r w:rsidRPr="00474030">
        <w:t xml:space="preserve"> mandate renewable or clean energy</w:t>
      </w:r>
      <w:r>
        <w:t>.</w:t>
      </w:r>
      <w:r w:rsidR="007C14B7">
        <w:t xml:space="preserve"> </w:t>
      </w:r>
      <w:r w:rsidRPr="002666CE">
        <w:t>These proposals have taken many forms, for example:</w:t>
      </w:r>
      <w:r>
        <w:t xml:space="preserve"> </w:t>
      </w:r>
      <w:r w:rsidRPr="002666CE">
        <w:t>a cap-and-trade program, carbon tax, and renewable/clean energy standards</w:t>
      </w:r>
      <w:r>
        <w:t>.</w:t>
      </w:r>
      <w:r w:rsidR="007C14B7">
        <w:t xml:space="preserve"> </w:t>
      </w:r>
    </w:p>
    <w:p w14:paraId="3283BBE7" w14:textId="1D687B5B" w:rsidR="00CA448C" w:rsidRDefault="00CA448C" w:rsidP="008105BD">
      <w:pPr>
        <w:rPr>
          <w:color w:val="393939"/>
          <w:u w:val="single"/>
        </w:rPr>
      </w:pPr>
      <w:r>
        <w:t>Throughout the 116</w:t>
      </w:r>
      <w:r w:rsidRPr="668F7C19">
        <w:rPr>
          <w:vertAlign w:val="superscript"/>
        </w:rPr>
        <w:t>th</w:t>
      </w:r>
      <w:r>
        <w:t xml:space="preserve"> and 117</w:t>
      </w:r>
      <w:r w:rsidRPr="00F61579">
        <w:rPr>
          <w:vertAlign w:val="superscript"/>
        </w:rPr>
        <w:t>th</w:t>
      </w:r>
      <w:r>
        <w:t xml:space="preserve"> Congresses (2019-2022), there was significant activity on climate-related legislation.</w:t>
      </w:r>
      <w:r w:rsidR="007C14B7">
        <w:t xml:space="preserve"> </w:t>
      </w:r>
      <w:r>
        <w:t>Of note, several bills that were introduced focused on an economy</w:t>
      </w:r>
      <w:r w:rsidR="00BC617F">
        <w:t>-</w:t>
      </w:r>
      <w:r>
        <w:t>wide carbon tax.</w:t>
      </w:r>
      <w:r w:rsidR="007C14B7">
        <w:t xml:space="preserve"> </w:t>
      </w:r>
      <w:r>
        <w:t>These proposals typically impose an initial economy-wide price on carbon</w:t>
      </w:r>
      <w:r w:rsidR="00421B21">
        <w:t xml:space="preserve"> (</w:t>
      </w:r>
      <w:r>
        <w:t>e.g., dollars per ton CO</w:t>
      </w:r>
      <w:r w:rsidRPr="00942D7D">
        <w:rPr>
          <w:vertAlign w:val="subscript"/>
        </w:rPr>
        <w:t>2</w:t>
      </w:r>
      <w:r w:rsidR="00421B21">
        <w:t>)</w:t>
      </w:r>
      <w:r>
        <w:t>, with varying degrees of escalation each year until the proposal’s specific national emission reduction targets are achieved.</w:t>
      </w:r>
      <w:r w:rsidR="007C14B7">
        <w:t xml:space="preserve"> </w:t>
      </w:r>
      <w:r>
        <w:t>The proposals contemplate initial pricing in a range from $15/ton to $52/ton and increase annually at varying rates.</w:t>
      </w:r>
      <w:r w:rsidR="007C14B7">
        <w:t xml:space="preserve"> </w:t>
      </w:r>
      <w:r>
        <w:t>Another approach to pricing carbon, a clean energy standard, has also been proposed.</w:t>
      </w:r>
      <w:r w:rsidR="007C14B7">
        <w:t xml:space="preserve"> </w:t>
      </w:r>
      <w:r>
        <w:t>As an example, a clean energy standard would set clean energy targets – a percentage of generation from low to zero GHG emitting sources – for retail electricity suppliers that would increase annually to 100% by some future year.</w:t>
      </w:r>
    </w:p>
    <w:p w14:paraId="02CC69FC" w14:textId="0D5A0811" w:rsidR="00CA448C" w:rsidRDefault="00CA448C" w:rsidP="008105BD">
      <w:r>
        <w:t>In December 2021, Congress passed the Infrastructure Investment and Jobs Act</w:t>
      </w:r>
      <w:r w:rsidR="00353CE9">
        <w:t xml:space="preserve"> (“IIJA”)</w:t>
      </w:r>
      <w:r>
        <w:t xml:space="preserve">. The </w:t>
      </w:r>
      <w:r w:rsidR="00353CE9">
        <w:t>IIJA</w:t>
      </w:r>
      <w:r>
        <w:t xml:space="preserve"> invests $1 trillion in the American economy, including roughly $73 billion for power infrastructure, and includes provisions related to cybersecurity and resiliency, broadband deployment, electric vehicle infrastructure deployment, CCS related infrastructure and commercialization, hydrogen infrastructure and commercialization, renewable energy and storage demonstrations, hydropower improvements/enhancements, </w:t>
      </w:r>
      <w:r w:rsidR="00714655">
        <w:t>Low-Income Home Energy Assistance Program</w:t>
      </w:r>
      <w:r>
        <w:t xml:space="preserve">, </w:t>
      </w:r>
      <w:r w:rsidR="00C41901">
        <w:t xml:space="preserve">the </w:t>
      </w:r>
      <w:r w:rsidR="00C41901" w:rsidRPr="6FB3F69D">
        <w:rPr>
          <w:rFonts w:eastAsia="Times New Roman" w:cs="Arial"/>
        </w:rPr>
        <w:t>National Environmental Policy Act (“</w:t>
      </w:r>
      <w:r>
        <w:t>NEPA</w:t>
      </w:r>
      <w:r w:rsidR="00C41901">
        <w:t>”)</w:t>
      </w:r>
      <w:r>
        <w:t xml:space="preserve">, Minority Business Development Agency, nuclear, “Buy America,” and grid infrastructure and transmission. </w:t>
      </w:r>
    </w:p>
    <w:p w14:paraId="0969AE84" w14:textId="0DA76114" w:rsidR="00A61F8B" w:rsidRPr="00220847" w:rsidRDefault="00D03FC5" w:rsidP="008105BD">
      <w:r>
        <w:lastRenderedPageBreak/>
        <w:t>I</w:t>
      </w:r>
      <w:r w:rsidR="00A61F8B" w:rsidRPr="00D03FC5">
        <w:t>n August 2022, the Inflation Reduction Act (</w:t>
      </w:r>
      <w:r w:rsidR="00C41901">
        <w:t>“</w:t>
      </w:r>
      <w:r w:rsidR="00A61F8B" w:rsidRPr="00D03FC5">
        <w:t>IRA</w:t>
      </w:r>
      <w:r w:rsidR="00C41901">
        <w:t>”</w:t>
      </w:r>
      <w:r w:rsidR="00A61F8B" w:rsidRPr="00D03FC5">
        <w:t xml:space="preserve">) was signed into law, providing $369 billion in funding for clean energy and climate related policies. The IRA extends, expands, and increases production and investment tax credits for clean energy projects, such as solar, wind, nuclear, hydrogen, energy storage, and carbon capture and </w:t>
      </w:r>
      <w:r w:rsidR="00CE3AD2">
        <w:t>storage</w:t>
      </w:r>
      <w:r w:rsidR="00A61F8B" w:rsidRPr="00D03FC5">
        <w:t>.</w:t>
      </w:r>
      <w:r w:rsidR="1503457E">
        <w:t xml:space="preserve"> A</w:t>
      </w:r>
      <w:r w:rsidR="1503457E" w:rsidRPr="00942D7D">
        <w:t>fter passage of the IRA</w:t>
      </w:r>
      <w:r w:rsidR="00DC590F" w:rsidRPr="00942D7D">
        <w:t>,</w:t>
      </w:r>
      <w:r w:rsidR="1503457E" w:rsidRPr="00942D7D">
        <w:t xml:space="preserve"> focus on climate legislation was significantly reduced in t</w:t>
      </w:r>
      <w:r w:rsidR="1503457E">
        <w:t>he 118</w:t>
      </w:r>
      <w:r w:rsidR="1503457E" w:rsidRPr="00942D7D">
        <w:t>th</w:t>
      </w:r>
      <w:r w:rsidR="1503457E">
        <w:t xml:space="preserve"> Congress</w:t>
      </w:r>
      <w:r w:rsidR="0D92DC65">
        <w:t xml:space="preserve"> (2023-2024)</w:t>
      </w:r>
      <w:r w:rsidR="00DC590F">
        <w:t>.</w:t>
      </w:r>
      <w:r w:rsidR="1503457E" w:rsidRPr="00220847">
        <w:t xml:space="preserve">     </w:t>
      </w:r>
    </w:p>
    <w:p w14:paraId="6C2A5D2F" w14:textId="7D37B7AF" w:rsidR="00CA448C" w:rsidRPr="00060673" w:rsidRDefault="00CA448C" w:rsidP="00060673">
      <w:pPr>
        <w:pStyle w:val="Smallheading3notoc"/>
        <w:rPr>
          <w:rStyle w:val="Style1Char"/>
          <w:rFonts w:eastAsiaTheme="minorEastAsia"/>
          <w:sz w:val="22"/>
          <w:szCs w:val="22"/>
        </w:rPr>
      </w:pPr>
      <w:r w:rsidRPr="00060673">
        <w:rPr>
          <w:color w:val="2F5496" w:themeColor="accent1" w:themeShade="BF"/>
        </w:rPr>
        <w:t xml:space="preserve">Global Climate Change International Initiatives </w:t>
      </w:r>
    </w:p>
    <w:p w14:paraId="3045C61E" w14:textId="12EA1247" w:rsidR="00CA448C" w:rsidRDefault="00CA448C" w:rsidP="008105BD">
      <w:r w:rsidRPr="002666CE">
        <w:t>International climate change negotiations under the United Nations Framework Convention on Climate Change (</w:t>
      </w:r>
      <w:r w:rsidR="00A83960">
        <w:t>“</w:t>
      </w:r>
      <w:r w:rsidRPr="002666CE">
        <w:t>UNFCCC</w:t>
      </w:r>
      <w:r w:rsidR="00A83960">
        <w:t>”</w:t>
      </w:r>
      <w:r w:rsidRPr="002666CE">
        <w:t xml:space="preserve"> or </w:t>
      </w:r>
      <w:r w:rsidR="00A83960">
        <w:t>“</w:t>
      </w:r>
      <w:r w:rsidRPr="002666CE">
        <w:t>Convention</w:t>
      </w:r>
      <w:r w:rsidR="00A83960">
        <w:t>”</w:t>
      </w:r>
      <w:r w:rsidRPr="002666CE">
        <w:t>) continue</w:t>
      </w:r>
      <w:r>
        <w:t>.</w:t>
      </w:r>
      <w:r w:rsidR="007C14B7">
        <w:t xml:space="preserve"> </w:t>
      </w:r>
      <w:r w:rsidRPr="002666CE">
        <w:t>Since 2005, the Convention has established various “working groups” to address key issues and negotiate future climate-related international agreements</w:t>
      </w:r>
      <w:r>
        <w:t>.</w:t>
      </w:r>
      <w:r w:rsidR="007C14B7">
        <w:t xml:space="preserve"> </w:t>
      </w:r>
      <w:r w:rsidRPr="002666CE">
        <w:t xml:space="preserve">The </w:t>
      </w:r>
      <w:r>
        <w:t>w</w:t>
      </w:r>
      <w:r w:rsidRPr="002666CE">
        <w:t xml:space="preserve">orking </w:t>
      </w:r>
      <w:r>
        <w:t>g</w:t>
      </w:r>
      <w:r w:rsidRPr="002666CE">
        <w:t>roups meet periodically throughout the year and, along with the formal subsidiary bodies to the Convention, again at the annual Conference of Parties (</w:t>
      </w:r>
      <w:r w:rsidR="00A83960">
        <w:t>“</w:t>
      </w:r>
      <w:r w:rsidRPr="002666CE">
        <w:t>COP</w:t>
      </w:r>
      <w:r w:rsidR="00A83960">
        <w:t>”</w:t>
      </w:r>
      <w:r w:rsidRPr="002666CE">
        <w:t>)</w:t>
      </w:r>
      <w:r>
        <w:t>,</w:t>
      </w:r>
      <w:r w:rsidRPr="002666CE">
        <w:t xml:space="preserve"> a Meeting of the Parties to the Kyoto Protocol (</w:t>
      </w:r>
      <w:r w:rsidR="00A83960">
        <w:t>“</w:t>
      </w:r>
      <w:r w:rsidRPr="002666CE">
        <w:t>CMP</w:t>
      </w:r>
      <w:r w:rsidR="00A83960">
        <w:t>”</w:t>
      </w:r>
      <w:r w:rsidRPr="002666CE">
        <w:t>)</w:t>
      </w:r>
      <w:r>
        <w:t>, and a Meeting of Parties to the Paris Agreement (</w:t>
      </w:r>
      <w:r w:rsidR="00A83960">
        <w:t>“</w:t>
      </w:r>
      <w:r>
        <w:t>CMA</w:t>
      </w:r>
      <w:r w:rsidR="00A83960">
        <w:t>”</w:t>
      </w:r>
      <w:r>
        <w:t>).</w:t>
      </w:r>
      <w:r w:rsidR="007C14B7">
        <w:t xml:space="preserve"> </w:t>
      </w:r>
      <w:r w:rsidRPr="002666CE">
        <w:t>The COP is the supreme decision-making body of the Convention, which reviews the implementation of the Convention and other legal instruments</w:t>
      </w:r>
      <w:r>
        <w:t>.</w:t>
      </w:r>
      <w:r w:rsidR="007C14B7">
        <w:t xml:space="preserve"> </w:t>
      </w:r>
      <w:r w:rsidRPr="002666CE">
        <w:t>The CMP reviews the implementation of the Kyoto Protocol</w:t>
      </w:r>
      <w:r>
        <w:t>.</w:t>
      </w:r>
      <w:r w:rsidR="007C14B7">
        <w:t xml:space="preserve"> </w:t>
      </w:r>
      <w:r>
        <w:t xml:space="preserve">The CMA oversees the implementation of the Paris Agreement, which was adopted in 2015 and establishes a universal framework for addressing </w:t>
      </w:r>
      <w:r w:rsidR="0031105A">
        <w:t xml:space="preserve">GHG </w:t>
      </w:r>
      <w:r>
        <w:t>emissions based on nationally determined contributions.</w:t>
      </w:r>
      <w:r w:rsidR="007C14B7">
        <w:t xml:space="preserve"> </w:t>
      </w:r>
      <w:r>
        <w:t>It also sets in place a process for increasing those commitments every five years.</w:t>
      </w:r>
      <w:r w:rsidR="007C14B7">
        <w:t xml:space="preserve"> </w:t>
      </w:r>
    </w:p>
    <w:p w14:paraId="7FCE320E" w14:textId="1E3B672C" w:rsidR="00CA448C" w:rsidRPr="007C090A" w:rsidRDefault="00CA448C" w:rsidP="008105BD">
      <w:pPr>
        <w:rPr>
          <w:rFonts w:eastAsia="Arial"/>
        </w:rPr>
      </w:pPr>
      <w:r>
        <w:t xml:space="preserve">The </w:t>
      </w:r>
      <w:r w:rsidR="00203576">
        <w:t>U.S.</w:t>
      </w:r>
      <w:r>
        <w:t xml:space="preserve"> joined the Paris Agreement in 2016, withdrew in 2020, and reentered in 2021. After rejoining, </w:t>
      </w:r>
      <w:r w:rsidRPr="007C090A">
        <w:rPr>
          <w:rFonts w:eastAsia="Arial"/>
        </w:rPr>
        <w:t xml:space="preserve">President Biden subsequently announced a new country-specific commitment under the Paris Agreement for the </w:t>
      </w:r>
      <w:r w:rsidR="00203576">
        <w:rPr>
          <w:rFonts w:eastAsia="Arial"/>
        </w:rPr>
        <w:t>U.S.</w:t>
      </w:r>
      <w:r w:rsidRPr="007C090A">
        <w:rPr>
          <w:rFonts w:eastAsia="Arial"/>
        </w:rPr>
        <w:t xml:space="preserve"> to achieve a 50</w:t>
      </w:r>
      <w:r w:rsidR="00FE1C1F">
        <w:rPr>
          <w:rFonts w:eastAsia="Arial"/>
        </w:rPr>
        <w:t>%</w:t>
      </w:r>
      <w:r w:rsidRPr="007C090A">
        <w:rPr>
          <w:rFonts w:eastAsia="Arial"/>
        </w:rPr>
        <w:t xml:space="preserve"> to 52</w:t>
      </w:r>
      <w:r w:rsidR="00FE1C1F">
        <w:rPr>
          <w:rFonts w:eastAsia="Arial"/>
        </w:rPr>
        <w:t>%</w:t>
      </w:r>
      <w:r w:rsidR="00763BEA">
        <w:rPr>
          <w:rFonts w:eastAsia="Arial"/>
        </w:rPr>
        <w:t xml:space="preserve"> </w:t>
      </w:r>
      <w:r w:rsidRPr="007C090A">
        <w:rPr>
          <w:rFonts w:eastAsia="Arial"/>
        </w:rPr>
        <w:t xml:space="preserve">reduction from 2005 levels in economy-wide net GHG emissions </w:t>
      </w:r>
      <w:r w:rsidR="00FE4108">
        <w:rPr>
          <w:rFonts w:eastAsia="Arial"/>
        </w:rPr>
        <w:t>by</w:t>
      </w:r>
      <w:r w:rsidR="00FE4108" w:rsidRPr="007C090A">
        <w:rPr>
          <w:rFonts w:eastAsia="Arial"/>
        </w:rPr>
        <w:t xml:space="preserve"> </w:t>
      </w:r>
      <w:r w:rsidRPr="007C090A">
        <w:rPr>
          <w:rFonts w:eastAsia="Arial"/>
        </w:rPr>
        <w:t>2030.</w:t>
      </w:r>
    </w:p>
    <w:p w14:paraId="3514BC35" w14:textId="77777777" w:rsidR="00CA448C" w:rsidRPr="00060673" w:rsidRDefault="00CA448C" w:rsidP="00060673">
      <w:pPr>
        <w:pStyle w:val="Smallheading3notoc"/>
        <w:rPr>
          <w:rStyle w:val="Style1Char"/>
          <w:rFonts w:eastAsiaTheme="minorEastAsia"/>
          <w:sz w:val="22"/>
          <w:szCs w:val="22"/>
        </w:rPr>
      </w:pPr>
      <w:r w:rsidRPr="00060673">
        <w:rPr>
          <w:color w:val="2F5496" w:themeColor="accent1" w:themeShade="BF"/>
        </w:rPr>
        <w:t xml:space="preserve">Social Cost of Greenhouse Gas </w:t>
      </w:r>
    </w:p>
    <w:p w14:paraId="026BA8D4" w14:textId="25FBE282" w:rsidR="00A61F8B" w:rsidRPr="008105BD" w:rsidRDefault="00CA448C" w:rsidP="008105BD">
      <w:pPr>
        <w:rPr>
          <w:rFonts w:eastAsia="Arial"/>
        </w:rPr>
      </w:pPr>
      <w:r w:rsidRPr="0048764B">
        <w:t xml:space="preserve">The social cost of </w:t>
      </w:r>
      <w:r w:rsidR="00162105" w:rsidRPr="0048764B">
        <w:t xml:space="preserve">greenhouse gas </w:t>
      </w:r>
      <w:r w:rsidRPr="0048764B">
        <w:t xml:space="preserve">(“SC-GHG”) is a monetary estimate of the damages from climate change to society </w:t>
      </w:r>
      <w:proofErr w:type="gramStart"/>
      <w:r w:rsidRPr="0048764B">
        <w:t>as a whole from</w:t>
      </w:r>
      <w:proofErr w:type="gramEnd"/>
      <w:r w:rsidRPr="0048764B">
        <w:t xml:space="preserve"> emitting an incremental amount of GHGs.</w:t>
      </w:r>
      <w:r w:rsidR="007C14B7" w:rsidRPr="0048764B">
        <w:t xml:space="preserve"> </w:t>
      </w:r>
      <w:r w:rsidRPr="0048764B">
        <w:t xml:space="preserve">Damage estimates, which include direct and indirect impacts, have also been created for emissions of other GHGs, including methane and nitrous oxide. EPA and other agencies may use this tool to incorporate the social benefits of reductions, or the harm from emitting, GHGs into cost-benefit analysis of regulatory actions that impact cumulative global emissions. In February 2021, the Interagency Working Group on Social Cost of GHGs announced an interim </w:t>
      </w:r>
      <w:r w:rsidR="00C52CA9" w:rsidRPr="0048764B">
        <w:t>SC-GHG</w:t>
      </w:r>
      <w:r w:rsidR="0045137D" w:rsidRPr="0048764B">
        <w:t>s</w:t>
      </w:r>
      <w:r w:rsidRPr="0048764B">
        <w:t xml:space="preserve"> at $51/ton for CO</w:t>
      </w:r>
      <w:r w:rsidRPr="0048764B">
        <w:rPr>
          <w:vertAlign w:val="subscript"/>
        </w:rPr>
        <w:t>2</w:t>
      </w:r>
      <w:r w:rsidRPr="0048764B">
        <w:t xml:space="preserve"> at a 3% discount rate, reinstituting the</w:t>
      </w:r>
      <w:r w:rsidR="0081539C" w:rsidRPr="0048764B">
        <w:t xml:space="preserve"> </w:t>
      </w:r>
      <w:r w:rsidRPr="0048764B">
        <w:t>values</w:t>
      </w:r>
      <w:r w:rsidR="0081539C" w:rsidRPr="0048764B">
        <w:t xml:space="preserve"> </w:t>
      </w:r>
      <w:r w:rsidRPr="0048764B">
        <w:t>that</w:t>
      </w:r>
      <w:r w:rsidR="0081539C" w:rsidRPr="0048764B">
        <w:t xml:space="preserve"> </w:t>
      </w:r>
      <w:r w:rsidRPr="0048764B">
        <w:t>were in effect under the</w:t>
      </w:r>
      <w:r w:rsidR="0081539C" w:rsidRPr="0048764B">
        <w:t xml:space="preserve"> </w:t>
      </w:r>
      <w:r w:rsidRPr="0048764B">
        <w:t>Obama</w:t>
      </w:r>
      <w:r w:rsidR="0081539C" w:rsidRPr="0048764B">
        <w:t xml:space="preserve"> </w:t>
      </w:r>
      <w:r w:rsidRPr="0048764B">
        <w:t xml:space="preserve">Administration that were drastically lowered during the Trump Administration. </w:t>
      </w:r>
      <w:r w:rsidR="00830DD0" w:rsidRPr="0048764B">
        <w:t>The interim SC-GHG was subsequently challenged by group</w:t>
      </w:r>
      <w:r w:rsidR="007E2D6D" w:rsidRPr="0048764B">
        <w:t>s</w:t>
      </w:r>
      <w:r w:rsidR="00830DD0" w:rsidRPr="0048764B">
        <w:t xml:space="preserve"> of states</w:t>
      </w:r>
      <w:r w:rsidR="000F3FE8" w:rsidRPr="0048764B">
        <w:t xml:space="preserve"> in two different district courts with mixed results</w:t>
      </w:r>
      <w:r w:rsidR="00A61F8B" w:rsidRPr="0048764B">
        <w:rPr>
          <w:rFonts w:eastAsia="Arial"/>
        </w:rPr>
        <w:t>.</w:t>
      </w:r>
    </w:p>
    <w:p w14:paraId="7738740D" w14:textId="183ADA72" w:rsidR="00A61F8B" w:rsidRPr="0048764B" w:rsidRDefault="007A18CD" w:rsidP="008105BD">
      <w:pPr>
        <w:rPr>
          <w:rFonts w:eastAsia="Arial"/>
        </w:rPr>
      </w:pPr>
      <w:r w:rsidRPr="0048764B">
        <w:rPr>
          <w:rFonts w:eastAsia="Arial"/>
        </w:rPr>
        <w:t>In</w:t>
      </w:r>
      <w:r w:rsidR="00A61F8B" w:rsidRPr="0048764B">
        <w:rPr>
          <w:rFonts w:eastAsia="Arial"/>
        </w:rPr>
        <w:t xml:space="preserve"> November 2022, as part of the supplementary material released with proposed Section 111 methane regulations for the oil and gas sector, EPA released a draft report which updated estimates for the SC-GHGs, including estimates that the social cost of carbon in 2020, in 2020 dollars, is between $120 to $340 per metric ton, and the social cost of methane is $1,300 to $2,300 per metric ton, using discount rates between 2.5</w:t>
      </w:r>
      <w:r w:rsidR="002B41E2" w:rsidRPr="0048764B">
        <w:rPr>
          <w:rFonts w:eastAsia="Arial"/>
        </w:rPr>
        <w:t>%</w:t>
      </w:r>
      <w:r w:rsidR="00A61F8B" w:rsidRPr="0048764B">
        <w:rPr>
          <w:rFonts w:eastAsia="Arial"/>
        </w:rPr>
        <w:t xml:space="preserve"> to 1.5</w:t>
      </w:r>
      <w:r w:rsidR="002B41E2" w:rsidRPr="0048764B">
        <w:rPr>
          <w:rFonts w:eastAsia="Arial"/>
        </w:rPr>
        <w:t>%</w:t>
      </w:r>
      <w:r w:rsidR="00A61F8B" w:rsidRPr="0048764B">
        <w:rPr>
          <w:rFonts w:eastAsia="Arial"/>
        </w:rPr>
        <w:t>, respectively.</w:t>
      </w:r>
    </w:p>
    <w:p w14:paraId="73A17F7B" w14:textId="4D97F3EB" w:rsidR="009B120F" w:rsidRPr="0048764B" w:rsidRDefault="009B120F" w:rsidP="008105BD">
      <w:pPr>
        <w:rPr>
          <w:rFonts w:eastAsia="Arial"/>
        </w:rPr>
      </w:pPr>
      <w:r w:rsidRPr="0048764B">
        <w:rPr>
          <w:rFonts w:eastAsia="Arial"/>
        </w:rPr>
        <w:lastRenderedPageBreak/>
        <w:t xml:space="preserve">On April 5, 2023, the Fifth Circuit Court of Appeals dismissed </w:t>
      </w:r>
      <w:r w:rsidR="002B41E2" w:rsidRPr="0048764B">
        <w:rPr>
          <w:rFonts w:eastAsia="Arial"/>
        </w:rPr>
        <w:t xml:space="preserve">a </w:t>
      </w:r>
      <w:r w:rsidRPr="0048764B">
        <w:rPr>
          <w:rFonts w:eastAsia="Arial"/>
        </w:rPr>
        <w:t>challenge of the interim SC-GHG by a group of states led by Louisiana, using similar reasoning related to lack of standing cited by the Eighth Circuit Court of Appeals in 2022.</w:t>
      </w:r>
      <w:r w:rsidR="008A6934" w:rsidRPr="0048764B">
        <w:rPr>
          <w:rFonts w:eastAsia="Arial"/>
        </w:rPr>
        <w:t xml:space="preserve"> </w:t>
      </w:r>
      <w:r w:rsidRPr="0048764B">
        <w:rPr>
          <w:rFonts w:eastAsia="Arial"/>
        </w:rPr>
        <w:t>On October 10, 2023, the U.S. Supreme Court declined to review the Eight Circuit</w:t>
      </w:r>
      <w:r w:rsidR="00EC5D1B" w:rsidRPr="0048764B">
        <w:rPr>
          <w:rFonts w:eastAsia="Arial"/>
        </w:rPr>
        <w:t>’s</w:t>
      </w:r>
      <w:r w:rsidRPr="0048764B">
        <w:rPr>
          <w:rFonts w:eastAsia="Arial"/>
        </w:rPr>
        <w:t xml:space="preserve"> decision.</w:t>
      </w:r>
    </w:p>
    <w:p w14:paraId="0D8B4503" w14:textId="5F5233CF" w:rsidR="009B120F" w:rsidRPr="0048764B" w:rsidRDefault="009B120F" w:rsidP="008105BD">
      <w:r w:rsidRPr="0048764B">
        <w:t>On March 8, 2024, EPA published the final methane rules for the oil and gas sector. EPA also released a final version of the SC-GHG report, continuing to suggest the use of much higher values than the interim SC-GHGs. The Interagency Working Group on Social Cost of Greenhouse Gases has posted a memo advising agencies moving forward to “use their professional judgment to determine which estimates of the SC-GHG reflect the best available evidence, are most appropriate for particular analytical contexts, and best facilitate sound decision-making.”</w:t>
      </w:r>
      <w:r w:rsidR="003B795D" w:rsidRPr="0048764B">
        <w:rPr>
          <w:rStyle w:val="FootnoteReference"/>
          <w:rFonts w:eastAsia="Arial"/>
        </w:rPr>
        <w:footnoteReference w:id="8"/>
      </w:r>
    </w:p>
    <w:p w14:paraId="7A865F09" w14:textId="7E7D8491" w:rsidR="00CA448C" w:rsidRPr="00161484" w:rsidRDefault="00CA448C" w:rsidP="00060673">
      <w:pPr>
        <w:pStyle w:val="Smallheading3notoc"/>
      </w:pPr>
      <w:r w:rsidRPr="00060673">
        <w:rPr>
          <w:color w:val="2F5496" w:themeColor="accent1" w:themeShade="BF"/>
        </w:rPr>
        <w:t>GHG Emissions Performance Standards</w:t>
      </w:r>
    </w:p>
    <w:p w14:paraId="0FF8D176" w14:textId="0A5D0A9C" w:rsidR="00CA448C" w:rsidRDefault="00CA448C" w:rsidP="008105BD">
      <w:r w:rsidRPr="00331D76">
        <w:t xml:space="preserve">In October 2015, the </w:t>
      </w:r>
      <w:r w:rsidR="009A4F5E" w:rsidRPr="00331D76">
        <w:t xml:space="preserve">EPA finalized </w:t>
      </w:r>
      <w:r w:rsidR="00DB1AB2" w:rsidRPr="00331D76">
        <w:t xml:space="preserve">the first </w:t>
      </w:r>
      <w:r w:rsidR="00727217" w:rsidRPr="00331D76">
        <w:t>GHG</w:t>
      </w:r>
      <w:r w:rsidR="00FC452D" w:rsidRPr="00331D76">
        <w:t xml:space="preserve"> regulations </w:t>
      </w:r>
      <w:r w:rsidR="00B721D7" w:rsidRPr="00331D76">
        <w:t xml:space="preserve">under Section 111 of the CAA </w:t>
      </w:r>
      <w:r w:rsidR="00FC452D" w:rsidRPr="00331D76">
        <w:t xml:space="preserve">for </w:t>
      </w:r>
      <w:r w:rsidR="002F580C" w:rsidRPr="00331D76">
        <w:t xml:space="preserve">new and existing sources </w:t>
      </w:r>
      <w:r w:rsidRPr="00331D76">
        <w:t xml:space="preserve">in the </w:t>
      </w:r>
      <w:r w:rsidR="00FF6C77" w:rsidRPr="00331D76">
        <w:t>power sector</w:t>
      </w:r>
      <w:r w:rsidR="00DB1AB2" w:rsidRPr="00331D76">
        <w:t xml:space="preserve"> (</w:t>
      </w:r>
      <w:r w:rsidR="00331D76" w:rsidRPr="00331D76">
        <w:t>“</w:t>
      </w:r>
      <w:r w:rsidR="008172D1" w:rsidRPr="00331D76">
        <w:t>2015 111 GHG Rules</w:t>
      </w:r>
      <w:r w:rsidR="00331D76" w:rsidRPr="00331D76">
        <w:t>”</w:t>
      </w:r>
      <w:r w:rsidR="008172D1" w:rsidRPr="00331D76">
        <w:t>)</w:t>
      </w:r>
      <w:r w:rsidR="00FC452D" w:rsidRPr="00331D76">
        <w:t>.</w:t>
      </w:r>
      <w:r w:rsidRPr="00331D76">
        <w:t xml:space="preserve"> </w:t>
      </w:r>
      <w:r w:rsidR="00700203" w:rsidRPr="00331D76">
        <w:t>For newly constructed coal and gas</w:t>
      </w:r>
      <w:r w:rsidR="0038161A" w:rsidRPr="00331D76">
        <w:t>-steam resources</w:t>
      </w:r>
      <w:r w:rsidRPr="00331D76">
        <w:t xml:space="preserve">, EPA established </w:t>
      </w:r>
      <w:r w:rsidR="00BF0E53" w:rsidRPr="00331D76">
        <w:t xml:space="preserve">a </w:t>
      </w:r>
      <w:r w:rsidRPr="00331D76">
        <w:t xml:space="preserve">standard </w:t>
      </w:r>
      <w:r w:rsidR="00BF0E53" w:rsidRPr="00331D76">
        <w:t xml:space="preserve">of </w:t>
      </w:r>
      <w:r w:rsidRPr="00331D76">
        <w:t xml:space="preserve">1,400 </w:t>
      </w:r>
      <w:r w:rsidR="00503C42" w:rsidRPr="00331D76">
        <w:t>pounds</w:t>
      </w:r>
      <w:r w:rsidRPr="00331D76">
        <w:t xml:space="preserve"> of CO</w:t>
      </w:r>
      <w:r w:rsidRPr="00AC2BC5">
        <w:rPr>
          <w:vertAlign w:val="subscript"/>
        </w:rPr>
        <w:t>2</w:t>
      </w:r>
      <w:r w:rsidR="00503C42" w:rsidRPr="00AC2BC5">
        <w:rPr>
          <w:vertAlign w:val="subscript"/>
        </w:rPr>
        <w:t xml:space="preserve"> </w:t>
      </w:r>
      <w:r w:rsidR="00503C42" w:rsidRPr="00331D76">
        <w:t>per megawatt-hour</w:t>
      </w:r>
      <w:r w:rsidRPr="00331D76">
        <w:t xml:space="preserve"> </w:t>
      </w:r>
      <w:r w:rsidR="00BF0E53" w:rsidRPr="00331D76">
        <w:t>(</w:t>
      </w:r>
      <w:proofErr w:type="spellStart"/>
      <w:r w:rsidR="00BF0E53" w:rsidRPr="00331D76">
        <w:t>lbs</w:t>
      </w:r>
      <w:proofErr w:type="spellEnd"/>
      <w:r w:rsidR="00BF0E53" w:rsidRPr="00331D76">
        <w:t xml:space="preserve"> CO</w:t>
      </w:r>
      <w:r w:rsidR="00BF0E53" w:rsidRPr="00AC2BC5">
        <w:rPr>
          <w:vertAlign w:val="subscript"/>
        </w:rPr>
        <w:t>2</w:t>
      </w:r>
      <w:r w:rsidR="00BF0E53" w:rsidRPr="00331D76">
        <w:t>/MW-</w:t>
      </w:r>
      <w:proofErr w:type="spellStart"/>
      <w:r w:rsidR="00BF0E53" w:rsidRPr="00331D76">
        <w:t>hr</w:t>
      </w:r>
      <w:proofErr w:type="spellEnd"/>
      <w:r w:rsidR="00BF0E53" w:rsidRPr="00331D76">
        <w:t>)</w:t>
      </w:r>
      <w:r w:rsidR="00002266" w:rsidRPr="00331D76">
        <w:t xml:space="preserve"> with the standard for coal based on </w:t>
      </w:r>
      <w:r w:rsidR="00A33B24" w:rsidRPr="00331D76">
        <w:t xml:space="preserve">implementation of partial carbon capture and </w:t>
      </w:r>
      <w:r w:rsidR="00CE3AD2" w:rsidRPr="00331D76">
        <w:t>storage</w:t>
      </w:r>
      <w:r w:rsidR="00A33B24" w:rsidRPr="00331D76">
        <w:t>. The standard for</w:t>
      </w:r>
      <w:r w:rsidRPr="00331D76">
        <w:t xml:space="preserve"> baseload </w:t>
      </w:r>
      <w:r w:rsidR="00167AFF" w:rsidRPr="00331D76">
        <w:t>combustion turbines was set at</w:t>
      </w:r>
      <w:r w:rsidRPr="00331D76">
        <w:t xml:space="preserve"> 1,000 </w:t>
      </w:r>
      <w:proofErr w:type="spellStart"/>
      <w:r w:rsidR="00167AFF" w:rsidRPr="00331D76">
        <w:t>lbs</w:t>
      </w:r>
      <w:proofErr w:type="spellEnd"/>
      <w:r w:rsidR="00167AFF" w:rsidRPr="00331D76">
        <w:t xml:space="preserve"> CO</w:t>
      </w:r>
      <w:r w:rsidR="00167AFF" w:rsidRPr="00AC2BC5">
        <w:rPr>
          <w:vertAlign w:val="subscript"/>
        </w:rPr>
        <w:t>2</w:t>
      </w:r>
      <w:r w:rsidR="00167AFF" w:rsidRPr="00331D76">
        <w:t>/MW-</w:t>
      </w:r>
      <w:proofErr w:type="spellStart"/>
      <w:r w:rsidR="00167AFF" w:rsidRPr="00331D76">
        <w:t>hr</w:t>
      </w:r>
      <w:proofErr w:type="spellEnd"/>
      <w:r w:rsidR="00167AFF" w:rsidRPr="00331D76" w:rsidDel="00167AFF">
        <w:t xml:space="preserve"> </w:t>
      </w:r>
      <w:r w:rsidR="003D1316" w:rsidRPr="00331D76">
        <w:t xml:space="preserve">and based on efficiency combined-cycle </w:t>
      </w:r>
      <w:r w:rsidR="00F32027" w:rsidRPr="00331D76">
        <w:t>technology</w:t>
      </w:r>
      <w:r w:rsidRPr="00331D76">
        <w:t xml:space="preserve">. </w:t>
      </w:r>
      <w:r w:rsidR="006C7D25" w:rsidRPr="00331D76">
        <w:t xml:space="preserve">The final existing source rule, </w:t>
      </w:r>
      <w:r w:rsidRPr="00331D76">
        <w:t xml:space="preserve">known as the Clean Power Plan </w:t>
      </w:r>
      <w:r w:rsidR="008852DA" w:rsidRPr="00331D76">
        <w:t>(</w:t>
      </w:r>
      <w:r w:rsidR="00DE39B0" w:rsidRPr="00331D76">
        <w:t>“</w:t>
      </w:r>
      <w:r w:rsidR="008852DA" w:rsidRPr="00331D76">
        <w:t>CPP</w:t>
      </w:r>
      <w:r w:rsidR="00DE39B0" w:rsidRPr="00331D76">
        <w:t>”</w:t>
      </w:r>
      <w:r w:rsidR="008852DA" w:rsidRPr="00331D76">
        <w:t>)</w:t>
      </w:r>
      <w:r w:rsidR="00BC4989" w:rsidRPr="00331D76">
        <w:t xml:space="preserve">, </w:t>
      </w:r>
      <w:r w:rsidR="00EA5EFF" w:rsidRPr="00331D76">
        <w:t xml:space="preserve">contained regulatory guidelines for </w:t>
      </w:r>
      <w:r w:rsidR="00727217" w:rsidRPr="00331D76">
        <w:t xml:space="preserve">GHG </w:t>
      </w:r>
      <w:r w:rsidR="00EA5EFF" w:rsidRPr="00331D76">
        <w:t xml:space="preserve">emissions </w:t>
      </w:r>
      <w:r w:rsidR="006D7894" w:rsidRPr="00331D76">
        <w:t>to be used by</w:t>
      </w:r>
      <w:r w:rsidRPr="00331D76">
        <w:t xml:space="preserve"> states to develop a state-specific compliance plan. Numerous parties filed petitions for review and accompanying</w:t>
      </w:r>
      <w:r w:rsidRPr="0008493F">
        <w:t xml:space="preserve"> motions to stay the CPP, including Georgia Power. On February 9, 2016, the U.S. Supreme Court granted a stay of the CPP </w:t>
      </w:r>
      <w:r w:rsidR="0015182D">
        <w:t>during</w:t>
      </w:r>
      <w:r w:rsidRPr="0008493F">
        <w:t xml:space="preserve"> the legal challenge proceed</w:t>
      </w:r>
      <w:r w:rsidR="0015182D">
        <w:t>ing</w:t>
      </w:r>
      <w:r w:rsidRPr="0008493F">
        <w:t xml:space="preserve">s. </w:t>
      </w:r>
    </w:p>
    <w:p w14:paraId="777D1510" w14:textId="301D7043" w:rsidR="00D90597" w:rsidRPr="00262D4C" w:rsidRDefault="00CA448C" w:rsidP="008105BD">
      <w:r>
        <w:t>On July 8, 2019, the EPA repealed the CPP and replaced it with the Affordable Clean Energy (</w:t>
      </w:r>
      <w:r w:rsidR="00DE39B0">
        <w:t>“</w:t>
      </w:r>
      <w:r>
        <w:t>ACE</w:t>
      </w:r>
      <w:r w:rsidR="00DE39B0">
        <w:t>”</w:t>
      </w:r>
      <w:r>
        <w:t xml:space="preserve">) Rule, establishing revised guidelines for </w:t>
      </w:r>
      <w:r w:rsidR="00C12587">
        <w:t>development of state-specific</w:t>
      </w:r>
      <w:r>
        <w:t xml:space="preserve"> </w:t>
      </w:r>
      <w:r w:rsidR="00DB4FAC">
        <w:t xml:space="preserve">compliance </w:t>
      </w:r>
      <w:r>
        <w:t>plans to address GHG emissions from existing coal-fired power plants</w:t>
      </w:r>
      <w:r w:rsidR="00DB4FAC">
        <w:t xml:space="preserve"> only</w:t>
      </w:r>
      <w:r>
        <w:t xml:space="preserve">. On January 19, 2021, the D.C. Circuit Court vacated and remanded the ACE Rule back to the EPA. </w:t>
      </w:r>
      <w:r w:rsidR="00D90597" w:rsidRPr="00262D4C">
        <w:t xml:space="preserve">On June 30, 2022, the U.S. Supreme Court reversed the D.C. Circuit’s vacatur of the ACE Rule and issued an opinion limiting the EPA’s authority to regulate GHG emissions under the CAA. </w:t>
      </w:r>
    </w:p>
    <w:p w14:paraId="1DF92F9D" w14:textId="16B7CADF" w:rsidR="64A2A5D1" w:rsidRDefault="64A2A5D1" w:rsidP="008105BD">
      <w:r w:rsidRPr="322C2331">
        <w:t xml:space="preserve">On May 23, 2023, the EPA proposed new </w:t>
      </w:r>
      <w:r w:rsidR="00230BAF">
        <w:t>111 GHG Rules</w:t>
      </w:r>
      <w:r w:rsidRPr="322C2331">
        <w:t xml:space="preserve"> for new and existing sources in the power sector. </w:t>
      </w:r>
      <w:r w:rsidR="00515362">
        <w:t xml:space="preserve">While the proposal </w:t>
      </w:r>
      <w:r w:rsidR="00067FD5">
        <w:t xml:space="preserve">for </w:t>
      </w:r>
      <w:r w:rsidR="00371244">
        <w:t xml:space="preserve">existing sources included regulations for </w:t>
      </w:r>
      <w:r w:rsidR="0004012C">
        <w:t>large combustion turbines</w:t>
      </w:r>
      <w:r w:rsidRPr="322C2331">
        <w:t xml:space="preserve">, EPA announced </w:t>
      </w:r>
      <w:r w:rsidR="00D5343C">
        <w:t xml:space="preserve">on February </w:t>
      </w:r>
      <w:r w:rsidR="002471CF">
        <w:t xml:space="preserve">29, </w:t>
      </w:r>
      <w:proofErr w:type="gramStart"/>
      <w:r w:rsidR="002471CF">
        <w:t>2024</w:t>
      </w:r>
      <w:proofErr w:type="gramEnd"/>
      <w:r w:rsidR="002471CF">
        <w:t xml:space="preserve"> </w:t>
      </w:r>
      <w:r w:rsidRPr="322C2331">
        <w:t xml:space="preserve">that the </w:t>
      </w:r>
      <w:r w:rsidR="002471CF">
        <w:t>agency would instead</w:t>
      </w:r>
      <w:r w:rsidRPr="322C2331">
        <w:t xml:space="preserve"> take additional time to develop a more comprehensive </w:t>
      </w:r>
      <w:r w:rsidR="00AE57B2">
        <w:t xml:space="preserve">regulatory </w:t>
      </w:r>
      <w:r w:rsidRPr="322C2331">
        <w:t xml:space="preserve">approach for existing </w:t>
      </w:r>
      <w:r w:rsidR="006841D1">
        <w:t>combustion turbine</w:t>
      </w:r>
      <w:r w:rsidRPr="322C2331">
        <w:t xml:space="preserve">s that </w:t>
      </w:r>
      <w:r w:rsidR="002A77AF">
        <w:t>it</w:t>
      </w:r>
      <w:r w:rsidRPr="322C2331">
        <w:t xml:space="preserve"> expects to achieve a greater level of emission reductions. </w:t>
      </w:r>
      <w:r w:rsidR="000B46FF">
        <w:t xml:space="preserve">A </w:t>
      </w:r>
      <w:r w:rsidR="00912CF6">
        <w:t>notice of proposed rulemaking is expected in early 2025 with a final rule to follow</w:t>
      </w:r>
      <w:r w:rsidR="002D327C">
        <w:t xml:space="preserve"> </w:t>
      </w:r>
      <w:proofErr w:type="gramStart"/>
      <w:r w:rsidR="002D327C">
        <w:t>at a later date</w:t>
      </w:r>
      <w:proofErr w:type="gramEnd"/>
      <w:r w:rsidR="002D327C">
        <w:t>.</w:t>
      </w:r>
      <w:r w:rsidRPr="322C2331">
        <w:t xml:space="preserve"> </w:t>
      </w:r>
    </w:p>
    <w:p w14:paraId="5D41E039" w14:textId="77777777" w:rsidR="0072728B" w:rsidRDefault="0072728B" w:rsidP="00060673">
      <w:pPr>
        <w:pStyle w:val="Smallheading3notoc"/>
        <w:rPr>
          <w:i/>
        </w:rPr>
      </w:pPr>
      <w:r>
        <w:rPr>
          <w:i/>
        </w:rPr>
        <w:br/>
      </w:r>
    </w:p>
    <w:p w14:paraId="23D72EF4" w14:textId="4343C884" w:rsidR="00CA448C" w:rsidRPr="00060673" w:rsidRDefault="00CA448C" w:rsidP="00060673">
      <w:pPr>
        <w:pStyle w:val="Smallheading3notoc"/>
        <w:rPr>
          <w:i/>
        </w:rPr>
      </w:pPr>
      <w:r w:rsidRPr="00060673">
        <w:rPr>
          <w:i/>
        </w:rPr>
        <w:lastRenderedPageBreak/>
        <w:t xml:space="preserve">New Regulatory </w:t>
      </w:r>
      <w:r w:rsidRPr="00063FA5">
        <w:rPr>
          <w:i/>
        </w:rPr>
        <w:t>Updates</w:t>
      </w:r>
    </w:p>
    <w:p w14:paraId="72EF8898" w14:textId="1C5E4CA4" w:rsidR="00AF5B91" w:rsidRPr="00172E68" w:rsidRDefault="3E7D91F7" w:rsidP="00406B7A">
      <w:pPr>
        <w:pStyle w:val="ListParagraph"/>
        <w:numPr>
          <w:ilvl w:val="0"/>
          <w:numId w:val="7"/>
        </w:numPr>
        <w:spacing w:line="259" w:lineRule="auto"/>
        <w:rPr>
          <w:rFonts w:asciiTheme="minorHAnsi" w:eastAsiaTheme="minorEastAsia" w:hAnsiTheme="minorHAnsi"/>
          <w:color w:val="000000" w:themeColor="text1"/>
          <w:sz w:val="22"/>
        </w:rPr>
      </w:pPr>
      <w:r w:rsidRPr="322C2331">
        <w:rPr>
          <w:rFonts w:asciiTheme="minorHAnsi" w:eastAsiaTheme="minorEastAsia" w:hAnsiTheme="minorHAnsi"/>
          <w:sz w:val="22"/>
        </w:rPr>
        <w:t>On May 9, 2024, the EPA final</w:t>
      </w:r>
      <w:r w:rsidR="007155CC">
        <w:rPr>
          <w:rFonts w:asciiTheme="minorHAnsi" w:eastAsiaTheme="minorEastAsia" w:hAnsiTheme="minorHAnsi"/>
          <w:sz w:val="22"/>
        </w:rPr>
        <w:t>ized the new</w:t>
      </w:r>
      <w:r w:rsidRPr="322C2331">
        <w:rPr>
          <w:rFonts w:asciiTheme="minorHAnsi" w:eastAsiaTheme="minorEastAsia" w:hAnsiTheme="minorHAnsi"/>
          <w:sz w:val="22"/>
        </w:rPr>
        <w:t xml:space="preserve"> GHG </w:t>
      </w:r>
      <w:r w:rsidR="00DD6551">
        <w:rPr>
          <w:rFonts w:asciiTheme="minorHAnsi" w:eastAsiaTheme="minorEastAsia" w:hAnsiTheme="minorHAnsi"/>
          <w:sz w:val="22"/>
        </w:rPr>
        <w:t>regulations</w:t>
      </w:r>
      <w:r w:rsidR="00DD6551" w:rsidRPr="322C2331">
        <w:rPr>
          <w:rFonts w:asciiTheme="minorHAnsi" w:eastAsiaTheme="minorEastAsia" w:hAnsiTheme="minorHAnsi"/>
          <w:sz w:val="22"/>
        </w:rPr>
        <w:t xml:space="preserve"> </w:t>
      </w:r>
      <w:r w:rsidRPr="322C2331">
        <w:rPr>
          <w:rFonts w:asciiTheme="minorHAnsi" w:eastAsiaTheme="minorEastAsia" w:hAnsiTheme="minorHAnsi"/>
          <w:sz w:val="22"/>
        </w:rPr>
        <w:t xml:space="preserve">for existing </w:t>
      </w:r>
      <w:r w:rsidR="00D259A0" w:rsidRPr="00D259A0">
        <w:rPr>
          <w:rFonts w:asciiTheme="minorHAnsi" w:eastAsiaTheme="minorEastAsia" w:hAnsiTheme="minorHAnsi"/>
          <w:sz w:val="22"/>
        </w:rPr>
        <w:t>coal and gas-steam resources</w:t>
      </w:r>
      <w:r w:rsidRPr="322C2331">
        <w:rPr>
          <w:rFonts w:asciiTheme="minorHAnsi" w:eastAsiaTheme="minorEastAsia" w:hAnsiTheme="minorHAnsi"/>
          <w:sz w:val="22"/>
        </w:rPr>
        <w:t xml:space="preserve"> and </w:t>
      </w:r>
      <w:r w:rsidR="00D259A0">
        <w:rPr>
          <w:rFonts w:asciiTheme="minorHAnsi" w:eastAsiaTheme="minorEastAsia" w:hAnsiTheme="minorHAnsi"/>
          <w:sz w:val="22"/>
        </w:rPr>
        <w:t>newly constructed</w:t>
      </w:r>
      <w:r w:rsidRPr="322C2331">
        <w:rPr>
          <w:rFonts w:asciiTheme="minorHAnsi" w:eastAsiaTheme="minorEastAsia" w:hAnsiTheme="minorHAnsi"/>
          <w:sz w:val="22"/>
        </w:rPr>
        <w:t xml:space="preserve"> combustion </w:t>
      </w:r>
      <w:r w:rsidR="64CFE53B" w:rsidRPr="322C2331">
        <w:rPr>
          <w:rFonts w:asciiTheme="minorHAnsi" w:eastAsiaTheme="minorEastAsia" w:hAnsiTheme="minorHAnsi"/>
          <w:sz w:val="22"/>
        </w:rPr>
        <w:t xml:space="preserve">turbines </w:t>
      </w:r>
      <w:r w:rsidR="00D259A0">
        <w:rPr>
          <w:rFonts w:asciiTheme="minorHAnsi" w:eastAsiaTheme="minorEastAsia" w:hAnsiTheme="minorHAnsi"/>
          <w:sz w:val="22"/>
        </w:rPr>
        <w:t>(</w:t>
      </w:r>
      <w:r w:rsidR="00A47386">
        <w:rPr>
          <w:rFonts w:asciiTheme="minorHAnsi" w:eastAsiaTheme="minorEastAsia" w:hAnsiTheme="minorHAnsi"/>
          <w:sz w:val="22"/>
        </w:rPr>
        <w:t>“</w:t>
      </w:r>
      <w:r w:rsidR="00D259A0">
        <w:rPr>
          <w:rFonts w:asciiTheme="minorHAnsi" w:eastAsiaTheme="minorEastAsia" w:hAnsiTheme="minorHAnsi"/>
          <w:sz w:val="22"/>
        </w:rPr>
        <w:t>111 GHG Rules</w:t>
      </w:r>
      <w:r w:rsidR="00A47386">
        <w:rPr>
          <w:rFonts w:asciiTheme="minorHAnsi" w:eastAsiaTheme="minorEastAsia" w:hAnsiTheme="minorHAnsi"/>
          <w:sz w:val="22"/>
        </w:rPr>
        <w:t>”</w:t>
      </w:r>
      <w:r w:rsidR="00D259A0">
        <w:rPr>
          <w:rFonts w:asciiTheme="minorHAnsi" w:eastAsiaTheme="minorEastAsia" w:hAnsiTheme="minorHAnsi"/>
          <w:sz w:val="22"/>
        </w:rPr>
        <w:t>)</w:t>
      </w:r>
      <w:r w:rsidR="64CFE53B" w:rsidRPr="322C2331">
        <w:rPr>
          <w:rFonts w:asciiTheme="minorHAnsi" w:eastAsiaTheme="minorEastAsia" w:hAnsiTheme="minorHAnsi"/>
          <w:sz w:val="22"/>
        </w:rPr>
        <w:t xml:space="preserve">. </w:t>
      </w:r>
      <w:proofErr w:type="gramStart"/>
      <w:r w:rsidR="000C0DEA">
        <w:rPr>
          <w:rFonts w:asciiTheme="minorHAnsi" w:eastAsiaTheme="minorEastAsia" w:hAnsiTheme="minorHAnsi"/>
          <w:sz w:val="22"/>
        </w:rPr>
        <w:t>Similar to</w:t>
      </w:r>
      <w:proofErr w:type="gramEnd"/>
      <w:r w:rsidR="000C0DEA">
        <w:rPr>
          <w:rFonts w:asciiTheme="minorHAnsi" w:eastAsiaTheme="minorEastAsia" w:hAnsiTheme="minorHAnsi"/>
          <w:sz w:val="22"/>
        </w:rPr>
        <w:t xml:space="preserve"> the CPP and ACE Rule, </w:t>
      </w:r>
      <w:r w:rsidR="00591877">
        <w:rPr>
          <w:rFonts w:asciiTheme="minorHAnsi" w:eastAsiaTheme="minorEastAsia" w:hAnsiTheme="minorHAnsi"/>
          <w:sz w:val="22"/>
        </w:rPr>
        <w:t xml:space="preserve">states are required to </w:t>
      </w:r>
      <w:r w:rsidR="00F15698">
        <w:rPr>
          <w:rFonts w:asciiTheme="minorHAnsi" w:eastAsiaTheme="minorEastAsia" w:hAnsiTheme="minorHAnsi"/>
          <w:sz w:val="22"/>
        </w:rPr>
        <w:t>develop</w:t>
      </w:r>
      <w:r w:rsidR="00591877">
        <w:rPr>
          <w:rFonts w:asciiTheme="minorHAnsi" w:eastAsiaTheme="minorEastAsia" w:hAnsiTheme="minorHAnsi"/>
          <w:sz w:val="22"/>
        </w:rPr>
        <w:t xml:space="preserve"> a state</w:t>
      </w:r>
      <w:r w:rsidR="007E1A69">
        <w:rPr>
          <w:rFonts w:asciiTheme="minorHAnsi" w:eastAsiaTheme="minorEastAsia" w:hAnsiTheme="minorHAnsi"/>
          <w:sz w:val="22"/>
        </w:rPr>
        <w:t xml:space="preserve">-specific </w:t>
      </w:r>
      <w:r w:rsidR="00D4139B">
        <w:rPr>
          <w:rFonts w:asciiTheme="minorHAnsi" w:eastAsiaTheme="minorEastAsia" w:hAnsiTheme="minorHAnsi"/>
          <w:sz w:val="22"/>
        </w:rPr>
        <w:t xml:space="preserve">compliance </w:t>
      </w:r>
      <w:r w:rsidR="007E1A69">
        <w:rPr>
          <w:rFonts w:asciiTheme="minorHAnsi" w:eastAsiaTheme="minorEastAsia" w:hAnsiTheme="minorHAnsi"/>
          <w:sz w:val="22"/>
        </w:rPr>
        <w:t xml:space="preserve">plan to implement the </w:t>
      </w:r>
      <w:r w:rsidR="00525DB8">
        <w:rPr>
          <w:rFonts w:asciiTheme="minorHAnsi" w:eastAsiaTheme="minorEastAsia" w:hAnsiTheme="minorHAnsi"/>
          <w:sz w:val="22"/>
        </w:rPr>
        <w:t xml:space="preserve">new </w:t>
      </w:r>
      <w:r w:rsidR="000130B7">
        <w:rPr>
          <w:rFonts w:asciiTheme="minorHAnsi" w:eastAsiaTheme="minorEastAsia" w:hAnsiTheme="minorHAnsi"/>
          <w:sz w:val="22"/>
        </w:rPr>
        <w:t>GHG guidelines</w:t>
      </w:r>
      <w:r w:rsidR="006314DB">
        <w:rPr>
          <w:rFonts w:asciiTheme="minorHAnsi" w:eastAsiaTheme="minorEastAsia" w:hAnsiTheme="minorHAnsi"/>
          <w:sz w:val="22"/>
        </w:rPr>
        <w:t>.</w:t>
      </w:r>
      <w:r w:rsidR="64CFE53B" w:rsidRPr="322C2331">
        <w:rPr>
          <w:rFonts w:asciiTheme="minorHAnsi" w:eastAsiaTheme="minorEastAsia" w:hAnsiTheme="minorHAnsi"/>
          <w:sz w:val="22"/>
        </w:rPr>
        <w:t xml:space="preserve"> </w:t>
      </w:r>
      <w:r w:rsidR="0037240F">
        <w:rPr>
          <w:rFonts w:asciiTheme="minorHAnsi" w:eastAsiaTheme="minorEastAsia" w:hAnsiTheme="minorHAnsi"/>
          <w:sz w:val="22"/>
        </w:rPr>
        <w:t xml:space="preserve">For </w:t>
      </w:r>
      <w:r w:rsidR="000702E2" w:rsidRPr="000702E2">
        <w:rPr>
          <w:rFonts w:asciiTheme="minorHAnsi" w:eastAsiaTheme="minorEastAsia" w:hAnsiTheme="minorHAnsi"/>
          <w:sz w:val="22"/>
        </w:rPr>
        <w:t>new</w:t>
      </w:r>
      <w:r w:rsidR="0037240F">
        <w:rPr>
          <w:rFonts w:asciiTheme="minorHAnsi" w:eastAsiaTheme="minorEastAsia" w:hAnsiTheme="minorHAnsi"/>
          <w:sz w:val="22"/>
        </w:rPr>
        <w:t>ly constructed</w:t>
      </w:r>
      <w:r w:rsidR="000702E2" w:rsidRPr="000702E2">
        <w:rPr>
          <w:rFonts w:asciiTheme="minorHAnsi" w:eastAsiaTheme="minorEastAsia" w:hAnsiTheme="minorHAnsi"/>
          <w:sz w:val="22"/>
        </w:rPr>
        <w:t xml:space="preserve"> </w:t>
      </w:r>
      <w:r w:rsidR="00A47386">
        <w:rPr>
          <w:rFonts w:asciiTheme="minorHAnsi" w:eastAsiaTheme="minorEastAsia" w:hAnsiTheme="minorHAnsi"/>
          <w:sz w:val="22"/>
        </w:rPr>
        <w:t>CTs</w:t>
      </w:r>
      <w:r w:rsidR="001F57BB">
        <w:rPr>
          <w:rFonts w:asciiTheme="minorHAnsi" w:eastAsiaTheme="minorEastAsia" w:hAnsiTheme="minorHAnsi"/>
          <w:sz w:val="22"/>
        </w:rPr>
        <w:t xml:space="preserve">, the standards vary depending on </w:t>
      </w:r>
      <w:r w:rsidR="00D2732A">
        <w:rPr>
          <w:rFonts w:asciiTheme="minorHAnsi" w:eastAsiaTheme="minorEastAsia" w:hAnsiTheme="minorHAnsi"/>
          <w:sz w:val="22"/>
        </w:rPr>
        <w:t xml:space="preserve">how </w:t>
      </w:r>
      <w:r w:rsidR="00A324C7">
        <w:rPr>
          <w:rFonts w:asciiTheme="minorHAnsi" w:eastAsiaTheme="minorEastAsia" w:hAnsiTheme="minorHAnsi"/>
          <w:sz w:val="22"/>
        </w:rPr>
        <w:t>much</w:t>
      </w:r>
      <w:r w:rsidR="00C81FBF">
        <w:rPr>
          <w:rFonts w:asciiTheme="minorHAnsi" w:eastAsiaTheme="minorEastAsia" w:hAnsiTheme="minorHAnsi"/>
          <w:sz w:val="22"/>
        </w:rPr>
        <w:t xml:space="preserve"> </w:t>
      </w:r>
      <w:r w:rsidR="0002306E">
        <w:rPr>
          <w:rFonts w:asciiTheme="minorHAnsi" w:eastAsiaTheme="minorEastAsia" w:hAnsiTheme="minorHAnsi"/>
          <w:sz w:val="22"/>
        </w:rPr>
        <w:t>a</w:t>
      </w:r>
      <w:r w:rsidR="00C81FBF">
        <w:rPr>
          <w:rFonts w:asciiTheme="minorHAnsi" w:eastAsiaTheme="minorEastAsia" w:hAnsiTheme="minorHAnsi"/>
          <w:sz w:val="22"/>
        </w:rPr>
        <w:t xml:space="preserve"> unit operate</w:t>
      </w:r>
      <w:r w:rsidR="0002306E">
        <w:rPr>
          <w:rFonts w:asciiTheme="minorHAnsi" w:eastAsiaTheme="minorEastAsia" w:hAnsiTheme="minorHAnsi"/>
          <w:sz w:val="22"/>
        </w:rPr>
        <w:t>s</w:t>
      </w:r>
      <w:r w:rsidR="000702E2" w:rsidRPr="000702E2">
        <w:rPr>
          <w:rFonts w:asciiTheme="minorHAnsi" w:eastAsiaTheme="minorEastAsia" w:hAnsiTheme="minorHAnsi"/>
          <w:sz w:val="22"/>
        </w:rPr>
        <w:t>.</w:t>
      </w:r>
    </w:p>
    <w:p w14:paraId="360805E3" w14:textId="17DE62DD" w:rsidR="514DF5F5" w:rsidRPr="00B808EE" w:rsidRDefault="64CFE53B" w:rsidP="00406B7A">
      <w:pPr>
        <w:pStyle w:val="ListParagraph"/>
        <w:numPr>
          <w:ilvl w:val="0"/>
          <w:numId w:val="7"/>
        </w:numPr>
        <w:spacing w:line="259" w:lineRule="auto"/>
        <w:rPr>
          <w:rFonts w:asciiTheme="minorHAnsi" w:eastAsiaTheme="minorEastAsia" w:hAnsiTheme="minorHAnsi"/>
          <w:sz w:val="22"/>
        </w:rPr>
      </w:pPr>
      <w:r w:rsidRPr="72049F6B">
        <w:rPr>
          <w:rFonts w:asciiTheme="minorHAnsi" w:eastAsiaTheme="minorEastAsia" w:hAnsiTheme="minorHAnsi"/>
          <w:sz w:val="22"/>
        </w:rPr>
        <w:t xml:space="preserve">On May 9, 2024, </w:t>
      </w:r>
      <w:r w:rsidR="18F37A02" w:rsidRPr="72049F6B">
        <w:rPr>
          <w:rFonts w:asciiTheme="minorHAnsi" w:eastAsiaTheme="minorEastAsia" w:hAnsiTheme="minorHAnsi"/>
          <w:color w:val="000000" w:themeColor="text1"/>
          <w:sz w:val="22"/>
        </w:rPr>
        <w:t>a 25-state coalition (including Alabama</w:t>
      </w:r>
      <w:r w:rsidR="00114CC5" w:rsidRPr="72049F6B">
        <w:rPr>
          <w:rFonts w:asciiTheme="minorHAnsi" w:eastAsiaTheme="minorEastAsia" w:hAnsiTheme="minorHAnsi"/>
          <w:color w:val="000000" w:themeColor="text1"/>
          <w:sz w:val="22"/>
        </w:rPr>
        <w:t xml:space="preserve"> and</w:t>
      </w:r>
      <w:r w:rsidR="18F37A02" w:rsidRPr="72049F6B">
        <w:rPr>
          <w:rFonts w:asciiTheme="minorHAnsi" w:eastAsiaTheme="minorEastAsia" w:hAnsiTheme="minorHAnsi"/>
          <w:color w:val="000000" w:themeColor="text1"/>
          <w:sz w:val="22"/>
        </w:rPr>
        <w:t xml:space="preserve"> Georgia) filed </w:t>
      </w:r>
      <w:r w:rsidR="6860B029" w:rsidRPr="72049F6B">
        <w:rPr>
          <w:rFonts w:asciiTheme="minorHAnsi" w:eastAsiaTheme="minorEastAsia" w:hAnsiTheme="minorHAnsi"/>
          <w:color w:val="000000" w:themeColor="text1"/>
          <w:sz w:val="22"/>
        </w:rPr>
        <w:t xml:space="preserve">a </w:t>
      </w:r>
      <w:r w:rsidR="02136E0C" w:rsidRPr="72049F6B">
        <w:rPr>
          <w:rFonts w:asciiTheme="minorHAnsi" w:eastAsiaTheme="minorEastAsia" w:hAnsiTheme="minorHAnsi"/>
          <w:color w:val="000000" w:themeColor="text1"/>
          <w:sz w:val="22"/>
        </w:rPr>
        <w:t xml:space="preserve">petition for review challenging the rule in </w:t>
      </w:r>
      <w:r w:rsidR="30326D8F" w:rsidRPr="72049F6B">
        <w:rPr>
          <w:rFonts w:asciiTheme="minorHAnsi" w:eastAsiaTheme="minorEastAsia" w:hAnsiTheme="minorHAnsi"/>
          <w:color w:val="000000" w:themeColor="text1"/>
          <w:sz w:val="22"/>
        </w:rPr>
        <w:t>the</w:t>
      </w:r>
      <w:r w:rsidR="5DCF4316" w:rsidRPr="72049F6B">
        <w:rPr>
          <w:rFonts w:asciiTheme="minorHAnsi" w:eastAsiaTheme="minorEastAsia" w:hAnsiTheme="minorHAnsi"/>
          <w:color w:val="000000" w:themeColor="text1"/>
          <w:sz w:val="22"/>
        </w:rPr>
        <w:t xml:space="preserve"> U.S. Court of Appeals for</w:t>
      </w:r>
      <w:r w:rsidR="18F37A02" w:rsidRPr="72049F6B">
        <w:rPr>
          <w:rFonts w:asciiTheme="minorHAnsi" w:eastAsiaTheme="minorEastAsia" w:hAnsiTheme="minorHAnsi"/>
          <w:color w:val="000000" w:themeColor="text1"/>
          <w:sz w:val="22"/>
        </w:rPr>
        <w:t xml:space="preserve"> the D.C. Circuit. Numerous other industry groups and electric generators also filed petitions for review in the D.C. Circuit, including an ad hoc litigation coalition, Electric Generators for a Sensible Transition</w:t>
      </w:r>
      <w:r w:rsidR="7EE95A17" w:rsidRPr="72049F6B">
        <w:rPr>
          <w:rFonts w:asciiTheme="minorHAnsi" w:eastAsiaTheme="minorEastAsia" w:hAnsiTheme="minorHAnsi"/>
          <w:color w:val="000000" w:themeColor="text1"/>
          <w:sz w:val="22"/>
        </w:rPr>
        <w:t xml:space="preserve">, </w:t>
      </w:r>
      <w:r w:rsidR="00F553A0" w:rsidRPr="72049F6B">
        <w:rPr>
          <w:rFonts w:asciiTheme="minorHAnsi" w:eastAsiaTheme="minorEastAsia" w:hAnsiTheme="minorHAnsi"/>
          <w:color w:val="000000" w:themeColor="text1"/>
          <w:sz w:val="22"/>
        </w:rPr>
        <w:t xml:space="preserve">of </w:t>
      </w:r>
      <w:r w:rsidR="7EE95A17" w:rsidRPr="72049F6B">
        <w:rPr>
          <w:rFonts w:asciiTheme="minorHAnsi" w:eastAsiaTheme="minorEastAsia" w:hAnsiTheme="minorHAnsi"/>
          <w:color w:val="000000" w:themeColor="text1"/>
          <w:sz w:val="22"/>
        </w:rPr>
        <w:t>which Southern Company is a member</w:t>
      </w:r>
      <w:r w:rsidR="003E5FF4" w:rsidRPr="72049F6B">
        <w:rPr>
          <w:rFonts w:asciiTheme="minorHAnsi" w:eastAsiaTheme="minorEastAsia" w:hAnsiTheme="minorHAnsi"/>
          <w:color w:val="000000" w:themeColor="text1"/>
          <w:sz w:val="22"/>
        </w:rPr>
        <w:t xml:space="preserve">. </w:t>
      </w:r>
      <w:r w:rsidR="514DF5F5" w:rsidRPr="72049F6B">
        <w:rPr>
          <w:rFonts w:asciiTheme="minorHAnsi" w:eastAsiaTheme="minorEastAsia" w:hAnsiTheme="minorHAnsi"/>
          <w:color w:val="000000" w:themeColor="text1"/>
          <w:sz w:val="22"/>
        </w:rPr>
        <w:t xml:space="preserve">A total of eight stay motions were filed with the </w:t>
      </w:r>
      <w:r w:rsidR="07EFE9E7" w:rsidRPr="72049F6B">
        <w:rPr>
          <w:rFonts w:asciiTheme="minorHAnsi" w:eastAsiaTheme="minorEastAsia" w:hAnsiTheme="minorHAnsi"/>
          <w:color w:val="000000" w:themeColor="text1"/>
          <w:sz w:val="22"/>
        </w:rPr>
        <w:t>D.C. Circuit</w:t>
      </w:r>
      <w:r w:rsidR="0031274A">
        <w:rPr>
          <w:rFonts w:asciiTheme="minorHAnsi" w:eastAsiaTheme="minorEastAsia" w:hAnsiTheme="minorHAnsi"/>
          <w:color w:val="000000" w:themeColor="text1"/>
          <w:sz w:val="22"/>
        </w:rPr>
        <w:t>,</w:t>
      </w:r>
      <w:r w:rsidR="07EFE9E7" w:rsidRPr="72049F6B">
        <w:rPr>
          <w:rFonts w:asciiTheme="minorHAnsi" w:eastAsiaTheme="minorEastAsia" w:hAnsiTheme="minorHAnsi"/>
          <w:color w:val="000000" w:themeColor="text1"/>
          <w:sz w:val="22"/>
        </w:rPr>
        <w:t xml:space="preserve"> </w:t>
      </w:r>
      <w:r w:rsidR="514DF5F5" w:rsidRPr="72049F6B">
        <w:rPr>
          <w:rFonts w:asciiTheme="minorHAnsi" w:eastAsiaTheme="minorEastAsia" w:hAnsiTheme="minorHAnsi"/>
          <w:color w:val="000000" w:themeColor="text1"/>
          <w:sz w:val="22"/>
        </w:rPr>
        <w:t>and on July 19</w:t>
      </w:r>
      <w:r w:rsidR="14746CA6" w:rsidRPr="72049F6B">
        <w:rPr>
          <w:rFonts w:asciiTheme="minorHAnsi" w:eastAsiaTheme="minorEastAsia" w:hAnsiTheme="minorHAnsi"/>
          <w:color w:val="000000" w:themeColor="text1"/>
          <w:sz w:val="22"/>
        </w:rPr>
        <w:t xml:space="preserve">, </w:t>
      </w:r>
      <w:r w:rsidR="00CD0F5B">
        <w:rPr>
          <w:rFonts w:asciiTheme="minorHAnsi" w:eastAsiaTheme="minorEastAsia" w:hAnsiTheme="minorHAnsi"/>
          <w:color w:val="000000" w:themeColor="text1"/>
          <w:sz w:val="22"/>
        </w:rPr>
        <w:t>2024,</w:t>
      </w:r>
      <w:r w:rsidR="14746CA6" w:rsidRPr="72049F6B">
        <w:rPr>
          <w:rFonts w:asciiTheme="minorHAnsi" w:eastAsiaTheme="minorEastAsia" w:hAnsiTheme="minorHAnsi"/>
          <w:color w:val="000000" w:themeColor="text1"/>
          <w:sz w:val="22"/>
        </w:rPr>
        <w:t xml:space="preserve"> the</w:t>
      </w:r>
      <w:r w:rsidR="003E5FF4" w:rsidRPr="72049F6B">
        <w:rPr>
          <w:rFonts w:asciiTheme="minorHAnsi" w:eastAsiaTheme="minorEastAsia" w:hAnsiTheme="minorHAnsi"/>
          <w:color w:val="000000" w:themeColor="text1"/>
          <w:sz w:val="22"/>
        </w:rPr>
        <w:t xml:space="preserve"> </w:t>
      </w:r>
      <w:r w:rsidR="68A6841E" w:rsidRPr="72049F6B">
        <w:rPr>
          <w:rFonts w:asciiTheme="minorHAnsi" w:eastAsiaTheme="minorEastAsia" w:hAnsiTheme="minorHAnsi"/>
          <w:color w:val="000000" w:themeColor="text1"/>
          <w:sz w:val="22"/>
        </w:rPr>
        <w:t>court</w:t>
      </w:r>
      <w:r w:rsidR="007C14B7">
        <w:rPr>
          <w:rFonts w:asciiTheme="minorHAnsi" w:eastAsiaTheme="minorEastAsia" w:hAnsiTheme="minorHAnsi"/>
          <w:color w:val="000000" w:themeColor="text1"/>
          <w:sz w:val="22"/>
        </w:rPr>
        <w:t xml:space="preserve"> </w:t>
      </w:r>
      <w:r w:rsidR="14746CA6" w:rsidRPr="72049F6B">
        <w:rPr>
          <w:rFonts w:asciiTheme="minorHAnsi" w:eastAsiaTheme="minorEastAsia" w:hAnsiTheme="minorHAnsi"/>
          <w:color w:val="000000" w:themeColor="text1"/>
          <w:sz w:val="22"/>
        </w:rPr>
        <w:t>denied the p</w:t>
      </w:r>
      <w:r w:rsidR="5C93BB78" w:rsidRPr="72049F6B">
        <w:rPr>
          <w:rFonts w:asciiTheme="minorHAnsi" w:eastAsiaTheme="minorEastAsia" w:hAnsiTheme="minorHAnsi"/>
          <w:color w:val="000000" w:themeColor="text1"/>
          <w:sz w:val="22"/>
        </w:rPr>
        <w:t>etitioners</w:t>
      </w:r>
      <w:r w:rsidR="14746CA6" w:rsidRPr="72049F6B">
        <w:rPr>
          <w:rFonts w:asciiTheme="minorHAnsi" w:eastAsiaTheme="minorEastAsia" w:hAnsiTheme="minorHAnsi"/>
          <w:color w:val="000000" w:themeColor="text1"/>
          <w:sz w:val="22"/>
        </w:rPr>
        <w:t>’ requests for a stay.</w:t>
      </w:r>
      <w:r w:rsidR="18F37A02">
        <w:rPr>
          <w:rFonts w:asciiTheme="minorHAnsi" w:eastAsiaTheme="minorEastAsia" w:hAnsiTheme="minorHAnsi"/>
          <w:color w:val="000000" w:themeColor="text1"/>
          <w:sz w:val="22"/>
        </w:rPr>
        <w:t xml:space="preserve"> </w:t>
      </w:r>
      <w:r w:rsidR="18F37A02" w:rsidRPr="72049F6B">
        <w:rPr>
          <w:rFonts w:asciiTheme="minorHAnsi" w:eastAsiaTheme="minorEastAsia" w:hAnsiTheme="minorHAnsi"/>
          <w:sz w:val="22"/>
        </w:rPr>
        <w:t xml:space="preserve"> </w:t>
      </w:r>
    </w:p>
    <w:p w14:paraId="7D79BFCE" w14:textId="5BCDCBCB" w:rsidR="2197CC35" w:rsidRDefault="004C21AC" w:rsidP="00406B7A">
      <w:pPr>
        <w:pStyle w:val="ListParagraph"/>
        <w:numPr>
          <w:ilvl w:val="0"/>
          <w:numId w:val="7"/>
        </w:numPr>
        <w:spacing w:line="259" w:lineRule="auto"/>
        <w:rPr>
          <w:rFonts w:asciiTheme="minorHAnsi" w:eastAsiaTheme="minorEastAsia" w:hAnsiTheme="minorHAnsi"/>
          <w:sz w:val="22"/>
        </w:rPr>
      </w:pPr>
      <w:r>
        <w:rPr>
          <w:rFonts w:asciiTheme="minorHAnsi" w:eastAsiaTheme="minorEastAsia" w:hAnsiTheme="minorHAnsi"/>
          <w:sz w:val="22"/>
        </w:rPr>
        <w:t xml:space="preserve">Following </w:t>
      </w:r>
      <w:r w:rsidR="0078186F">
        <w:rPr>
          <w:rFonts w:asciiTheme="minorHAnsi" w:eastAsiaTheme="minorEastAsia" w:hAnsiTheme="minorHAnsi"/>
          <w:sz w:val="22"/>
        </w:rPr>
        <w:t xml:space="preserve">the D.C. Circuit’s denial of the stays, </w:t>
      </w:r>
      <w:r w:rsidR="5358B15E" w:rsidRPr="60A54515">
        <w:rPr>
          <w:rFonts w:asciiTheme="minorHAnsi" w:eastAsiaTheme="minorEastAsia" w:hAnsiTheme="minorHAnsi"/>
          <w:sz w:val="22"/>
        </w:rPr>
        <w:t>a coalition of state and industry petitioners (</w:t>
      </w:r>
      <w:r w:rsidR="009E476F">
        <w:rPr>
          <w:rFonts w:asciiTheme="minorHAnsi" w:eastAsiaTheme="minorEastAsia" w:hAnsiTheme="minorHAnsi"/>
          <w:sz w:val="22"/>
        </w:rPr>
        <w:t xml:space="preserve">again </w:t>
      </w:r>
      <w:r w:rsidR="5358B15E" w:rsidRPr="60A54515">
        <w:rPr>
          <w:rFonts w:asciiTheme="minorHAnsi" w:eastAsiaTheme="minorEastAsia" w:hAnsiTheme="minorHAnsi"/>
          <w:sz w:val="22"/>
        </w:rPr>
        <w:t xml:space="preserve">including Alabama and Georgia) filed emergency stay applications </w:t>
      </w:r>
      <w:r w:rsidR="009E476F">
        <w:rPr>
          <w:rFonts w:asciiTheme="minorHAnsi" w:eastAsiaTheme="minorEastAsia" w:hAnsiTheme="minorHAnsi"/>
          <w:sz w:val="22"/>
        </w:rPr>
        <w:t>o</w:t>
      </w:r>
      <w:r w:rsidR="009E476F" w:rsidRPr="60A54515">
        <w:rPr>
          <w:rFonts w:asciiTheme="minorHAnsi" w:eastAsiaTheme="minorEastAsia" w:hAnsiTheme="minorHAnsi"/>
          <w:sz w:val="22"/>
        </w:rPr>
        <w:t xml:space="preserve">n July 23, </w:t>
      </w:r>
      <w:proofErr w:type="gramStart"/>
      <w:r w:rsidR="009E476F" w:rsidRPr="60A54515">
        <w:rPr>
          <w:rFonts w:asciiTheme="minorHAnsi" w:eastAsiaTheme="minorEastAsia" w:hAnsiTheme="minorHAnsi"/>
          <w:sz w:val="22"/>
        </w:rPr>
        <w:t>2024</w:t>
      </w:r>
      <w:proofErr w:type="gramEnd"/>
      <w:r w:rsidR="009E476F" w:rsidRPr="60A54515">
        <w:rPr>
          <w:rFonts w:asciiTheme="minorHAnsi" w:eastAsiaTheme="minorEastAsia" w:hAnsiTheme="minorHAnsi"/>
          <w:sz w:val="22"/>
        </w:rPr>
        <w:t xml:space="preserve"> </w:t>
      </w:r>
      <w:r w:rsidR="005D3721">
        <w:rPr>
          <w:rFonts w:asciiTheme="minorHAnsi" w:eastAsiaTheme="minorEastAsia" w:hAnsiTheme="minorHAnsi"/>
          <w:sz w:val="22"/>
        </w:rPr>
        <w:t>with</w:t>
      </w:r>
      <w:r w:rsidR="005D3721" w:rsidRPr="60A54515">
        <w:rPr>
          <w:rFonts w:asciiTheme="minorHAnsi" w:eastAsiaTheme="minorEastAsia" w:hAnsiTheme="minorHAnsi"/>
          <w:sz w:val="22"/>
        </w:rPr>
        <w:t xml:space="preserve"> </w:t>
      </w:r>
      <w:r w:rsidR="5358B15E" w:rsidRPr="60A54515">
        <w:rPr>
          <w:rFonts w:asciiTheme="minorHAnsi" w:eastAsiaTheme="minorEastAsia" w:hAnsiTheme="minorHAnsi"/>
          <w:sz w:val="22"/>
        </w:rPr>
        <w:t>the U.S. Supreme Court</w:t>
      </w:r>
      <w:r w:rsidR="70785D2A" w:rsidRPr="5C95C547">
        <w:rPr>
          <w:rFonts w:asciiTheme="minorHAnsi" w:eastAsiaTheme="minorEastAsia" w:hAnsiTheme="minorHAnsi"/>
          <w:sz w:val="22"/>
        </w:rPr>
        <w:t>.</w:t>
      </w:r>
    </w:p>
    <w:p w14:paraId="68F9D310" w14:textId="2FED6B46" w:rsidR="00FC164D" w:rsidRDefault="00FC164D" w:rsidP="00406B7A">
      <w:pPr>
        <w:pStyle w:val="ListParagraph"/>
        <w:numPr>
          <w:ilvl w:val="0"/>
          <w:numId w:val="7"/>
        </w:numPr>
        <w:spacing w:line="259" w:lineRule="auto"/>
        <w:rPr>
          <w:rFonts w:asciiTheme="minorHAnsi" w:eastAsiaTheme="minorEastAsia" w:hAnsiTheme="minorHAnsi"/>
          <w:sz w:val="22"/>
        </w:rPr>
      </w:pPr>
      <w:r w:rsidRPr="322C2331">
        <w:rPr>
          <w:rFonts w:asciiTheme="minorHAnsi" w:eastAsiaTheme="minorEastAsia" w:hAnsiTheme="minorHAnsi"/>
          <w:sz w:val="22"/>
        </w:rPr>
        <w:t>On October 16, 2024, the U.S. Su</w:t>
      </w:r>
      <w:r w:rsidR="7741208C" w:rsidRPr="322C2331">
        <w:rPr>
          <w:rFonts w:asciiTheme="minorHAnsi" w:eastAsiaTheme="minorEastAsia" w:hAnsiTheme="minorHAnsi"/>
          <w:sz w:val="22"/>
        </w:rPr>
        <w:t>preme</w:t>
      </w:r>
      <w:r w:rsidRPr="322C2331">
        <w:rPr>
          <w:rFonts w:asciiTheme="minorHAnsi" w:eastAsiaTheme="minorEastAsia" w:hAnsiTheme="minorHAnsi"/>
          <w:sz w:val="22"/>
        </w:rPr>
        <w:t xml:space="preserve"> Court deni</w:t>
      </w:r>
      <w:r w:rsidR="6827E68F" w:rsidRPr="322C2331">
        <w:rPr>
          <w:rFonts w:asciiTheme="minorHAnsi" w:eastAsiaTheme="minorEastAsia" w:hAnsiTheme="minorHAnsi"/>
          <w:sz w:val="22"/>
        </w:rPr>
        <w:t>ed petitioners’ emergency stay applications.</w:t>
      </w:r>
      <w:r w:rsidR="00976D54">
        <w:rPr>
          <w:rFonts w:asciiTheme="minorHAnsi" w:eastAsiaTheme="minorEastAsia" w:hAnsiTheme="minorHAnsi"/>
          <w:sz w:val="22"/>
        </w:rPr>
        <w:t xml:space="preserve"> </w:t>
      </w:r>
      <w:r w:rsidR="004130E8">
        <w:rPr>
          <w:rFonts w:asciiTheme="minorHAnsi" w:eastAsiaTheme="minorEastAsia" w:hAnsiTheme="minorHAnsi"/>
          <w:sz w:val="22"/>
        </w:rPr>
        <w:t xml:space="preserve">In the order denying the </w:t>
      </w:r>
      <w:r w:rsidR="00586DEE">
        <w:rPr>
          <w:rFonts w:asciiTheme="minorHAnsi" w:eastAsiaTheme="minorEastAsia" w:hAnsiTheme="minorHAnsi"/>
          <w:sz w:val="22"/>
        </w:rPr>
        <w:t xml:space="preserve">applications, the </w:t>
      </w:r>
      <w:r w:rsidR="00586DEE" w:rsidRPr="00586DEE">
        <w:rPr>
          <w:rFonts w:asciiTheme="minorHAnsi" w:eastAsiaTheme="minorEastAsia" w:hAnsiTheme="minorHAnsi"/>
          <w:sz w:val="22"/>
        </w:rPr>
        <w:t>justices wrote that petitioners showed a strong likelihood of success on the merits</w:t>
      </w:r>
      <w:r w:rsidR="00A86627">
        <w:rPr>
          <w:rFonts w:asciiTheme="minorHAnsi" w:eastAsiaTheme="minorEastAsia" w:hAnsiTheme="minorHAnsi"/>
          <w:sz w:val="22"/>
        </w:rPr>
        <w:t xml:space="preserve">, </w:t>
      </w:r>
      <w:r w:rsidR="00586DEE" w:rsidRPr="00586DEE">
        <w:rPr>
          <w:rFonts w:asciiTheme="minorHAnsi" w:eastAsiaTheme="minorEastAsia" w:hAnsiTheme="minorHAnsi"/>
          <w:sz w:val="22"/>
        </w:rPr>
        <w:t xml:space="preserve">but the case was likely to be resolved </w:t>
      </w:r>
      <w:r w:rsidR="00B66274">
        <w:rPr>
          <w:rFonts w:asciiTheme="minorHAnsi" w:eastAsiaTheme="minorEastAsia" w:hAnsiTheme="minorHAnsi"/>
          <w:sz w:val="22"/>
        </w:rPr>
        <w:t xml:space="preserve">in the D.C. Circuit </w:t>
      </w:r>
      <w:r w:rsidR="00586DEE" w:rsidRPr="00586DEE">
        <w:rPr>
          <w:rFonts w:asciiTheme="minorHAnsi" w:eastAsiaTheme="minorEastAsia" w:hAnsiTheme="minorHAnsi"/>
          <w:sz w:val="22"/>
        </w:rPr>
        <w:t>before</w:t>
      </w:r>
      <w:r w:rsidR="00ED1E25">
        <w:rPr>
          <w:rFonts w:asciiTheme="minorHAnsi" w:eastAsiaTheme="minorEastAsia" w:hAnsiTheme="minorHAnsi"/>
          <w:sz w:val="22"/>
        </w:rPr>
        <w:t xml:space="preserve"> suffering </w:t>
      </w:r>
      <w:r w:rsidR="0031274A">
        <w:rPr>
          <w:rFonts w:asciiTheme="minorHAnsi" w:eastAsiaTheme="minorEastAsia" w:hAnsiTheme="minorHAnsi"/>
          <w:sz w:val="22"/>
        </w:rPr>
        <w:t>irrep</w:t>
      </w:r>
      <w:r w:rsidR="00367771">
        <w:rPr>
          <w:rFonts w:asciiTheme="minorHAnsi" w:eastAsiaTheme="minorEastAsia" w:hAnsiTheme="minorHAnsi"/>
          <w:sz w:val="22"/>
        </w:rPr>
        <w:t>arable</w:t>
      </w:r>
      <w:r w:rsidR="0031274A">
        <w:rPr>
          <w:rFonts w:asciiTheme="minorHAnsi" w:eastAsiaTheme="minorEastAsia" w:hAnsiTheme="minorHAnsi"/>
          <w:sz w:val="22"/>
        </w:rPr>
        <w:t xml:space="preserve"> </w:t>
      </w:r>
      <w:r w:rsidR="00C0029B">
        <w:rPr>
          <w:rFonts w:asciiTheme="minorHAnsi" w:eastAsiaTheme="minorEastAsia" w:hAnsiTheme="minorHAnsi"/>
          <w:sz w:val="22"/>
        </w:rPr>
        <w:t>harm.</w:t>
      </w:r>
      <w:r w:rsidR="00C646C1">
        <w:rPr>
          <w:rFonts w:asciiTheme="minorHAnsi" w:eastAsiaTheme="minorEastAsia" w:hAnsiTheme="minorHAnsi"/>
          <w:sz w:val="22"/>
        </w:rPr>
        <w:t xml:space="preserve"> </w:t>
      </w:r>
    </w:p>
    <w:p w14:paraId="4675903A" w14:textId="63A4BB0A" w:rsidR="2A4FF3D1" w:rsidRDefault="2A4FF3D1" w:rsidP="00406B7A">
      <w:pPr>
        <w:pStyle w:val="ListParagraph"/>
        <w:numPr>
          <w:ilvl w:val="0"/>
          <w:numId w:val="7"/>
        </w:numPr>
        <w:spacing w:line="259" w:lineRule="auto"/>
        <w:rPr>
          <w:rFonts w:asciiTheme="minorHAnsi" w:eastAsiaTheme="minorEastAsia" w:hAnsiTheme="minorHAnsi"/>
          <w:sz w:val="22"/>
        </w:rPr>
      </w:pPr>
      <w:r w:rsidRPr="4F7A9EB6">
        <w:rPr>
          <w:rFonts w:asciiTheme="minorHAnsi" w:eastAsiaTheme="minorEastAsia" w:hAnsiTheme="minorHAnsi"/>
          <w:sz w:val="22"/>
        </w:rPr>
        <w:t xml:space="preserve">Merits briefing </w:t>
      </w:r>
      <w:r w:rsidRPr="69E2CB02">
        <w:rPr>
          <w:rFonts w:asciiTheme="minorHAnsi" w:eastAsiaTheme="minorEastAsia" w:hAnsiTheme="minorHAnsi"/>
          <w:sz w:val="22"/>
        </w:rPr>
        <w:t>in the D</w:t>
      </w:r>
      <w:r w:rsidRPr="0B1DB453">
        <w:rPr>
          <w:rFonts w:asciiTheme="minorHAnsi" w:eastAsiaTheme="minorEastAsia" w:hAnsiTheme="minorHAnsi"/>
          <w:sz w:val="22"/>
        </w:rPr>
        <w:t>.</w:t>
      </w:r>
      <w:r w:rsidRPr="69E2CB02">
        <w:rPr>
          <w:rFonts w:asciiTheme="minorHAnsi" w:eastAsiaTheme="minorEastAsia" w:hAnsiTheme="minorHAnsi"/>
          <w:sz w:val="22"/>
        </w:rPr>
        <w:t>C</w:t>
      </w:r>
      <w:r w:rsidRPr="0B1DB453">
        <w:rPr>
          <w:rFonts w:asciiTheme="minorHAnsi" w:eastAsiaTheme="minorEastAsia" w:hAnsiTheme="minorHAnsi"/>
          <w:sz w:val="22"/>
        </w:rPr>
        <w:t>. Circuit</w:t>
      </w:r>
      <w:r w:rsidRPr="69E2CB02">
        <w:rPr>
          <w:rFonts w:asciiTheme="minorHAnsi" w:eastAsiaTheme="minorEastAsia" w:hAnsiTheme="minorHAnsi"/>
          <w:sz w:val="22"/>
        </w:rPr>
        <w:t xml:space="preserve"> </w:t>
      </w:r>
      <w:r w:rsidRPr="4F7A9EB6">
        <w:rPr>
          <w:rFonts w:asciiTheme="minorHAnsi" w:eastAsiaTheme="minorEastAsia" w:hAnsiTheme="minorHAnsi"/>
          <w:sz w:val="22"/>
        </w:rPr>
        <w:t>conclude</w:t>
      </w:r>
      <w:r w:rsidR="007D0984">
        <w:rPr>
          <w:rFonts w:asciiTheme="minorHAnsi" w:eastAsiaTheme="minorEastAsia" w:hAnsiTheme="minorHAnsi"/>
          <w:sz w:val="22"/>
        </w:rPr>
        <w:t>d</w:t>
      </w:r>
      <w:r w:rsidRPr="4F7A9EB6">
        <w:rPr>
          <w:rFonts w:asciiTheme="minorHAnsi" w:eastAsiaTheme="minorEastAsia" w:hAnsiTheme="minorHAnsi"/>
          <w:sz w:val="22"/>
        </w:rPr>
        <w:t xml:space="preserve"> in November 2024</w:t>
      </w:r>
      <w:r w:rsidR="00367771">
        <w:rPr>
          <w:rFonts w:asciiTheme="minorHAnsi" w:eastAsiaTheme="minorEastAsia" w:hAnsiTheme="minorHAnsi"/>
          <w:sz w:val="22"/>
        </w:rPr>
        <w:t>,</w:t>
      </w:r>
      <w:r w:rsidRPr="4F7A9EB6">
        <w:rPr>
          <w:rFonts w:asciiTheme="minorHAnsi" w:eastAsiaTheme="minorEastAsia" w:hAnsiTheme="minorHAnsi"/>
          <w:sz w:val="22"/>
        </w:rPr>
        <w:t xml:space="preserve"> and oral argument </w:t>
      </w:r>
      <w:r w:rsidR="0A79A356" w:rsidRPr="789CDA73">
        <w:rPr>
          <w:rFonts w:asciiTheme="minorHAnsi" w:eastAsiaTheme="minorEastAsia" w:hAnsiTheme="minorHAnsi"/>
          <w:sz w:val="22"/>
        </w:rPr>
        <w:t>was held on</w:t>
      </w:r>
      <w:r w:rsidRPr="69E2CB02">
        <w:rPr>
          <w:rFonts w:asciiTheme="minorHAnsi" w:eastAsiaTheme="minorEastAsia" w:hAnsiTheme="minorHAnsi"/>
          <w:sz w:val="22"/>
        </w:rPr>
        <w:t xml:space="preserve"> December 6, 2024</w:t>
      </w:r>
      <w:r w:rsidR="4905D464" w:rsidRPr="789CDA73">
        <w:rPr>
          <w:rFonts w:asciiTheme="minorHAnsi" w:eastAsiaTheme="minorEastAsia" w:hAnsiTheme="minorHAnsi"/>
          <w:sz w:val="22"/>
        </w:rPr>
        <w:t xml:space="preserve">. </w:t>
      </w:r>
    </w:p>
    <w:p w14:paraId="692E81C6" w14:textId="3A7478D1" w:rsidR="00CA448C" w:rsidRPr="00CA448C" w:rsidRDefault="00161484" w:rsidP="00052DE6">
      <w:pPr>
        <w:pStyle w:val="Heading4"/>
        <w:rPr>
          <w:color w:val="C00000"/>
        </w:rPr>
      </w:pPr>
      <w:r>
        <w:t>2.3.6.1</w:t>
      </w:r>
      <w:r>
        <w:tab/>
      </w:r>
      <w:r w:rsidR="00DD219A">
        <w:t xml:space="preserve">GHG Climate Policy </w:t>
      </w:r>
      <w:r w:rsidR="00DD219A" w:rsidRPr="00840D0F">
        <w:t>Compliance Strategy</w:t>
      </w:r>
    </w:p>
    <w:p w14:paraId="751F30D0" w14:textId="3EE70CA7" w:rsidR="009B7F11" w:rsidRDefault="00217255" w:rsidP="00406B7A">
      <w:r w:rsidRPr="00217255">
        <w:t xml:space="preserve">Georgia Power </w:t>
      </w:r>
      <w:r w:rsidR="007B3C75">
        <w:t>continues to work</w:t>
      </w:r>
      <w:r w:rsidRPr="00217255">
        <w:t xml:space="preserve"> with</w:t>
      </w:r>
      <w:r w:rsidR="00A21458" w:rsidRPr="00A21458">
        <w:t xml:space="preserve"> the </w:t>
      </w:r>
      <w:r w:rsidR="004B646C">
        <w:t>GPSC</w:t>
      </w:r>
      <w:r w:rsidRPr="00217255">
        <w:t xml:space="preserve"> to pursue</w:t>
      </w:r>
      <w:r w:rsidR="00A21458" w:rsidRPr="00A21458">
        <w:t xml:space="preserve"> a responsible fleet transition </w:t>
      </w:r>
      <w:r w:rsidR="00E4785B">
        <w:t>through a well-balanced</w:t>
      </w:r>
      <w:r w:rsidR="00A8691E">
        <w:t xml:space="preserve"> and diversified approach</w:t>
      </w:r>
      <w:r w:rsidR="00A21458" w:rsidRPr="00A21458">
        <w:t xml:space="preserve"> that considers the critical need to supply clean, safe, reliable, and affordable electricity to customers. </w:t>
      </w:r>
      <w:r w:rsidR="000128C5">
        <w:t>W</w:t>
      </w:r>
      <w:r w:rsidR="000128C5" w:rsidRPr="000F4EEF">
        <w:t>ith a wide range of possible outcomes, the Company’s scenario planning process</w:t>
      </w:r>
      <w:r w:rsidR="000128C5" w:rsidRPr="3E557F12">
        <w:rPr>
          <w:rFonts w:eastAsia="Calibri"/>
        </w:rPr>
        <w:t xml:space="preserve"> remains the best way to capture potential financial </w:t>
      </w:r>
      <w:r w:rsidR="000128C5" w:rsidRPr="28CFE88B">
        <w:rPr>
          <w:rFonts w:eastAsia="Calibri"/>
        </w:rPr>
        <w:t>impacts</w:t>
      </w:r>
      <w:r w:rsidR="000128C5">
        <w:rPr>
          <w:rFonts w:eastAsia="Calibri"/>
        </w:rPr>
        <w:t xml:space="preserve"> and allow for long-term planning</w:t>
      </w:r>
      <w:r w:rsidR="000128C5" w:rsidRPr="57C28621">
        <w:rPr>
          <w:rFonts w:eastAsia="Calibri"/>
        </w:rPr>
        <w:t xml:space="preserve"> to mitigate risks to customers.</w:t>
      </w:r>
      <w:r w:rsidR="000128C5" w:rsidRPr="52FC7AF0">
        <w:rPr>
          <w:rFonts w:eastAsia="Arial" w:cs="Arial"/>
        </w:rPr>
        <w:t xml:space="preserve"> </w:t>
      </w:r>
      <w:r w:rsidR="000128C5" w:rsidRPr="3E557F12">
        <w:rPr>
          <w:rFonts w:eastAsia="Calibri"/>
        </w:rPr>
        <w:t xml:space="preserve">The Company will monitor and evaluate the outcome of these executive, legislative, and regulatory actions and </w:t>
      </w:r>
      <w:r w:rsidR="000128C5">
        <w:rPr>
          <w:rFonts w:eastAsia="Calibri"/>
        </w:rPr>
        <w:t>incorporate any new information into the</w:t>
      </w:r>
      <w:r w:rsidR="000128C5" w:rsidRPr="3E557F12">
        <w:rPr>
          <w:rFonts w:eastAsia="Calibri"/>
        </w:rPr>
        <w:t xml:space="preserve"> compliance strateg</w:t>
      </w:r>
      <w:r w:rsidR="000128C5">
        <w:rPr>
          <w:rFonts w:eastAsia="Calibri"/>
        </w:rPr>
        <w:t>y process</w:t>
      </w:r>
      <w:r w:rsidR="000128C5" w:rsidRPr="3E557F12">
        <w:rPr>
          <w:rFonts w:eastAsia="Calibri"/>
        </w:rPr>
        <w:t xml:space="preserve"> as appropriate.</w:t>
      </w:r>
      <w:r w:rsidR="000128C5">
        <w:rPr>
          <w:rFonts w:eastAsia="Calibri"/>
        </w:rPr>
        <w:t xml:space="preserve"> </w:t>
      </w:r>
      <w:r w:rsidR="004B646C">
        <w:rPr>
          <w:rFonts w:eastAsia="Calibri"/>
        </w:rPr>
        <w:t>GHG</w:t>
      </w:r>
      <w:r w:rsidR="000128C5">
        <w:rPr>
          <w:rFonts w:eastAsia="Calibri"/>
        </w:rPr>
        <w:t xml:space="preserve"> controls and reduction measures are another area where the Company performs industry leading R&amp;D, as discussed in </w:t>
      </w:r>
      <w:hyperlink w:anchor="_ECS_-_Appendix" w:history="1">
        <w:r w:rsidR="000128C5" w:rsidRPr="00F66D80">
          <w:rPr>
            <w:rStyle w:val="Hyperlink"/>
            <w:rFonts w:asciiTheme="minorHAnsi" w:eastAsia="Calibri" w:hAnsiTheme="minorHAnsi" w:cstheme="minorBidi"/>
            <w:color w:val="auto"/>
            <w:u w:val="none"/>
          </w:rPr>
          <w:t>Appendix C</w:t>
        </w:r>
      </w:hyperlink>
      <w:r w:rsidR="000128C5">
        <w:rPr>
          <w:rFonts w:eastAsia="Calibri"/>
        </w:rPr>
        <w:t>, seeking to provide the necessary long-term cost-effective solutions for the generating fleet.</w:t>
      </w:r>
    </w:p>
    <w:p w14:paraId="57DD4056" w14:textId="3F8E555A" w:rsidR="00F22FCB" w:rsidRPr="00CA448C" w:rsidRDefault="00161484" w:rsidP="00754A5F">
      <w:pPr>
        <w:pStyle w:val="Heading4"/>
        <w:rPr>
          <w:color w:val="C00000"/>
        </w:rPr>
      </w:pPr>
      <w:r>
        <w:t>2.3.6.2</w:t>
      </w:r>
      <w:r>
        <w:tab/>
      </w:r>
      <w:r w:rsidR="00FD6038">
        <w:t xml:space="preserve">GHG Emissions Standard </w:t>
      </w:r>
      <w:r w:rsidR="00F22FCB" w:rsidRPr="00840D0F">
        <w:t>Compliance Strategy</w:t>
      </w:r>
    </w:p>
    <w:p w14:paraId="62B52BBE" w14:textId="00A23CF0" w:rsidR="00596FD8" w:rsidRDefault="002F078D" w:rsidP="00754A5F">
      <w:pPr>
        <w:rPr>
          <w:bCs/>
          <w:iCs/>
        </w:rPr>
      </w:pPr>
      <w:r>
        <w:rPr>
          <w:bCs/>
          <w:iCs/>
        </w:rPr>
        <w:t xml:space="preserve">While ongoing litigation </w:t>
      </w:r>
      <w:r w:rsidR="00243A4B">
        <w:rPr>
          <w:bCs/>
          <w:iCs/>
        </w:rPr>
        <w:t>of</w:t>
      </w:r>
      <w:r w:rsidR="00BC7FC6">
        <w:rPr>
          <w:bCs/>
          <w:iCs/>
        </w:rPr>
        <w:t xml:space="preserve"> </w:t>
      </w:r>
      <w:r w:rsidR="00A71B18">
        <w:rPr>
          <w:bCs/>
          <w:iCs/>
        </w:rPr>
        <w:t xml:space="preserve">the </w:t>
      </w:r>
      <w:r w:rsidR="007F2B95">
        <w:rPr>
          <w:bCs/>
          <w:iCs/>
        </w:rPr>
        <w:t xml:space="preserve">2024 </w:t>
      </w:r>
      <w:r w:rsidR="00A3656A">
        <w:rPr>
          <w:bCs/>
          <w:iCs/>
        </w:rPr>
        <w:t xml:space="preserve">111 </w:t>
      </w:r>
      <w:r w:rsidR="00A71B18">
        <w:rPr>
          <w:bCs/>
          <w:iCs/>
        </w:rPr>
        <w:t>GHG Rules</w:t>
      </w:r>
      <w:r w:rsidR="009E1DAB" w:rsidRPr="009E1DAB">
        <w:rPr>
          <w:bCs/>
          <w:iCs/>
        </w:rPr>
        <w:t xml:space="preserve"> </w:t>
      </w:r>
      <w:r w:rsidR="009E1DAB">
        <w:rPr>
          <w:bCs/>
          <w:iCs/>
        </w:rPr>
        <w:t xml:space="preserve">creates </w:t>
      </w:r>
      <w:r w:rsidR="00243A4B">
        <w:rPr>
          <w:bCs/>
          <w:iCs/>
        </w:rPr>
        <w:t xml:space="preserve">significant </w:t>
      </w:r>
      <w:r w:rsidR="009E1DAB">
        <w:rPr>
          <w:bCs/>
          <w:iCs/>
        </w:rPr>
        <w:t>uncertainty</w:t>
      </w:r>
      <w:r w:rsidR="00A71B18">
        <w:rPr>
          <w:bCs/>
          <w:iCs/>
        </w:rPr>
        <w:t xml:space="preserve">, </w:t>
      </w:r>
      <w:r w:rsidR="00CB0CBB">
        <w:rPr>
          <w:bCs/>
          <w:iCs/>
        </w:rPr>
        <w:t xml:space="preserve">Georgia Power must </w:t>
      </w:r>
      <w:r w:rsidR="005C53FE">
        <w:rPr>
          <w:bCs/>
          <w:iCs/>
        </w:rPr>
        <w:t>ev</w:t>
      </w:r>
      <w:r w:rsidR="00A31479">
        <w:rPr>
          <w:bCs/>
          <w:iCs/>
        </w:rPr>
        <w:t>aluate</w:t>
      </w:r>
      <w:r w:rsidR="005C53FE">
        <w:rPr>
          <w:bCs/>
          <w:iCs/>
        </w:rPr>
        <w:t xml:space="preserve"> these regulations and develop compliance strategies </w:t>
      </w:r>
      <w:proofErr w:type="gramStart"/>
      <w:r w:rsidR="00350E21">
        <w:rPr>
          <w:bCs/>
          <w:iCs/>
        </w:rPr>
        <w:t>in order to</w:t>
      </w:r>
      <w:proofErr w:type="gramEnd"/>
      <w:r w:rsidR="00350E21">
        <w:rPr>
          <w:bCs/>
          <w:iCs/>
        </w:rPr>
        <w:t xml:space="preserve"> meet the compliance deadlines.</w:t>
      </w:r>
      <w:r w:rsidR="00215662">
        <w:rPr>
          <w:bCs/>
          <w:iCs/>
        </w:rPr>
        <w:t xml:space="preserve"> </w:t>
      </w:r>
      <w:r w:rsidR="00480285">
        <w:rPr>
          <w:bCs/>
          <w:iCs/>
        </w:rPr>
        <w:t xml:space="preserve">The Company </w:t>
      </w:r>
      <w:r w:rsidR="0026749D">
        <w:rPr>
          <w:bCs/>
          <w:iCs/>
        </w:rPr>
        <w:t xml:space="preserve">will continue to pursue compliance strategies for the </w:t>
      </w:r>
      <w:r w:rsidR="00965C67">
        <w:rPr>
          <w:bCs/>
          <w:iCs/>
        </w:rPr>
        <w:t xml:space="preserve">2024 </w:t>
      </w:r>
      <w:r w:rsidR="0026749D">
        <w:rPr>
          <w:bCs/>
          <w:iCs/>
        </w:rPr>
        <w:t xml:space="preserve">111 GHG Rules until there is </w:t>
      </w:r>
      <w:r w:rsidR="00965C67">
        <w:rPr>
          <w:bCs/>
          <w:iCs/>
        </w:rPr>
        <w:t xml:space="preserve">a clear </w:t>
      </w:r>
      <w:r w:rsidR="0026749D">
        <w:rPr>
          <w:bCs/>
          <w:iCs/>
        </w:rPr>
        <w:t>indication that the rule</w:t>
      </w:r>
      <w:r w:rsidR="00E12A63">
        <w:rPr>
          <w:bCs/>
          <w:iCs/>
        </w:rPr>
        <w:t>s</w:t>
      </w:r>
      <w:r w:rsidR="0026749D">
        <w:rPr>
          <w:bCs/>
          <w:iCs/>
        </w:rPr>
        <w:t xml:space="preserve"> </w:t>
      </w:r>
      <w:r w:rsidR="00820823">
        <w:rPr>
          <w:bCs/>
          <w:iCs/>
        </w:rPr>
        <w:t xml:space="preserve">will </w:t>
      </w:r>
      <w:r w:rsidR="00442C3C">
        <w:rPr>
          <w:bCs/>
          <w:iCs/>
        </w:rPr>
        <w:t>no longer be in effect</w:t>
      </w:r>
      <w:r w:rsidR="00B46396">
        <w:rPr>
          <w:bCs/>
          <w:iCs/>
        </w:rPr>
        <w:t xml:space="preserve">. </w:t>
      </w:r>
      <w:r w:rsidR="00DA5A70">
        <w:rPr>
          <w:bCs/>
          <w:iCs/>
        </w:rPr>
        <w:t xml:space="preserve">This uncertainty </w:t>
      </w:r>
      <w:r w:rsidR="007E7A34">
        <w:rPr>
          <w:bCs/>
          <w:iCs/>
        </w:rPr>
        <w:t xml:space="preserve">comes at a time when </w:t>
      </w:r>
      <w:r w:rsidR="00D0103F">
        <w:rPr>
          <w:bCs/>
          <w:iCs/>
        </w:rPr>
        <w:t>the Company is experiencing significant load growth</w:t>
      </w:r>
      <w:r w:rsidR="00D91F28">
        <w:rPr>
          <w:bCs/>
          <w:iCs/>
        </w:rPr>
        <w:t>,</w:t>
      </w:r>
      <w:r w:rsidR="00D0103F">
        <w:rPr>
          <w:bCs/>
          <w:iCs/>
        </w:rPr>
        <w:t xml:space="preserve"> </w:t>
      </w:r>
      <w:r w:rsidR="00721BB1">
        <w:rPr>
          <w:bCs/>
          <w:iCs/>
        </w:rPr>
        <w:t xml:space="preserve">which </w:t>
      </w:r>
      <w:r w:rsidR="00B8209E">
        <w:rPr>
          <w:bCs/>
          <w:iCs/>
        </w:rPr>
        <w:t xml:space="preserve">drives the need for existing fossil fuel-fired units to operate beyond </w:t>
      </w:r>
      <w:r w:rsidR="00E900A2">
        <w:rPr>
          <w:bCs/>
          <w:iCs/>
        </w:rPr>
        <w:t>2032</w:t>
      </w:r>
      <w:r w:rsidR="00E713D9">
        <w:rPr>
          <w:bCs/>
          <w:iCs/>
        </w:rPr>
        <w:t xml:space="preserve"> to meet </w:t>
      </w:r>
      <w:r w:rsidR="00F04D2A">
        <w:rPr>
          <w:bCs/>
          <w:iCs/>
        </w:rPr>
        <w:t xml:space="preserve">growing </w:t>
      </w:r>
      <w:r w:rsidR="00E713D9">
        <w:rPr>
          <w:bCs/>
          <w:iCs/>
        </w:rPr>
        <w:t>customer demand</w:t>
      </w:r>
      <w:r w:rsidR="00E900A2">
        <w:rPr>
          <w:bCs/>
          <w:iCs/>
        </w:rPr>
        <w:t>.</w:t>
      </w:r>
      <w:r w:rsidR="00D0103F">
        <w:rPr>
          <w:bCs/>
          <w:iCs/>
        </w:rPr>
        <w:t xml:space="preserve"> </w:t>
      </w:r>
      <w:r w:rsidR="00311B91">
        <w:rPr>
          <w:bCs/>
          <w:iCs/>
        </w:rPr>
        <w:t xml:space="preserve">The following paragraphs outline the Company’s compliance strategies for new CTs (Yates Units 8-10) and existing </w:t>
      </w:r>
      <w:r w:rsidR="00311B91">
        <w:rPr>
          <w:bCs/>
          <w:iCs/>
        </w:rPr>
        <w:lastRenderedPageBreak/>
        <w:t xml:space="preserve">fossil fuel-fired </w:t>
      </w:r>
      <w:r w:rsidR="00275FEF">
        <w:rPr>
          <w:bCs/>
          <w:iCs/>
        </w:rPr>
        <w:t xml:space="preserve">generating units (Yates </w:t>
      </w:r>
      <w:r w:rsidR="00302A4A">
        <w:rPr>
          <w:bCs/>
          <w:iCs/>
        </w:rPr>
        <w:t xml:space="preserve">Units </w:t>
      </w:r>
      <w:r w:rsidR="00275FEF">
        <w:rPr>
          <w:bCs/>
          <w:iCs/>
        </w:rPr>
        <w:t xml:space="preserve">6-7, Bowen </w:t>
      </w:r>
      <w:r w:rsidR="00302A4A">
        <w:rPr>
          <w:bCs/>
          <w:iCs/>
        </w:rPr>
        <w:t>Units</w:t>
      </w:r>
      <w:r w:rsidR="00275FEF">
        <w:rPr>
          <w:bCs/>
          <w:iCs/>
        </w:rPr>
        <w:t xml:space="preserve"> 1-4, Scherer </w:t>
      </w:r>
      <w:r w:rsidR="00302A4A">
        <w:rPr>
          <w:bCs/>
          <w:iCs/>
        </w:rPr>
        <w:t>Units</w:t>
      </w:r>
      <w:r w:rsidR="00275FEF">
        <w:rPr>
          <w:bCs/>
          <w:iCs/>
        </w:rPr>
        <w:t xml:space="preserve"> 1-3</w:t>
      </w:r>
      <w:r w:rsidR="001666B7">
        <w:rPr>
          <w:bCs/>
          <w:iCs/>
        </w:rPr>
        <w:t>, and Gaston Units 1-4</w:t>
      </w:r>
      <w:r w:rsidR="00275FEF">
        <w:rPr>
          <w:bCs/>
          <w:iCs/>
        </w:rPr>
        <w:t>)</w:t>
      </w:r>
      <w:r w:rsidR="004C3E34">
        <w:rPr>
          <w:bCs/>
          <w:iCs/>
        </w:rPr>
        <w:t>, should the 111 GHG Rules remain in effect</w:t>
      </w:r>
      <w:r w:rsidR="00275FEF">
        <w:rPr>
          <w:bCs/>
          <w:iCs/>
        </w:rPr>
        <w:t xml:space="preserve">. </w:t>
      </w:r>
    </w:p>
    <w:p w14:paraId="19351799" w14:textId="6C8993DB" w:rsidR="00620DA4" w:rsidRDefault="002A4CC5" w:rsidP="00754A5F">
      <w:pPr>
        <w:rPr>
          <w:bCs/>
          <w:iCs/>
        </w:rPr>
      </w:pPr>
      <w:r>
        <w:rPr>
          <w:bCs/>
          <w:iCs/>
        </w:rPr>
        <w:t xml:space="preserve">The 2024 111 GHG Rules include </w:t>
      </w:r>
      <w:r w:rsidR="00977785">
        <w:rPr>
          <w:bCs/>
          <w:iCs/>
        </w:rPr>
        <w:t xml:space="preserve">the following </w:t>
      </w:r>
      <w:r>
        <w:rPr>
          <w:bCs/>
          <w:iCs/>
        </w:rPr>
        <w:t xml:space="preserve">standards for </w:t>
      </w:r>
      <w:r w:rsidR="00DA7AAA">
        <w:rPr>
          <w:bCs/>
          <w:iCs/>
        </w:rPr>
        <w:t xml:space="preserve">Yates </w:t>
      </w:r>
      <w:r w:rsidR="0008758B">
        <w:rPr>
          <w:bCs/>
          <w:iCs/>
        </w:rPr>
        <w:t xml:space="preserve">Units </w:t>
      </w:r>
      <w:r w:rsidR="00DA7AAA">
        <w:rPr>
          <w:bCs/>
          <w:iCs/>
        </w:rPr>
        <w:t>8-10</w:t>
      </w:r>
      <w:r w:rsidR="00D42B3C">
        <w:rPr>
          <w:bCs/>
          <w:iCs/>
        </w:rPr>
        <w:t>, which vary</w:t>
      </w:r>
      <w:r>
        <w:rPr>
          <w:bCs/>
          <w:iCs/>
        </w:rPr>
        <w:t xml:space="preserve"> based on how much </w:t>
      </w:r>
      <w:r w:rsidR="00DA7AAA">
        <w:rPr>
          <w:bCs/>
          <w:iCs/>
        </w:rPr>
        <w:t>e</w:t>
      </w:r>
      <w:r w:rsidR="0008758B">
        <w:rPr>
          <w:bCs/>
          <w:iCs/>
        </w:rPr>
        <w:t>ach unit</w:t>
      </w:r>
      <w:r>
        <w:rPr>
          <w:bCs/>
          <w:iCs/>
        </w:rPr>
        <w:t xml:space="preserve"> operate</w:t>
      </w:r>
      <w:r w:rsidR="00977785">
        <w:rPr>
          <w:bCs/>
          <w:iCs/>
        </w:rPr>
        <w:t>s:</w:t>
      </w:r>
    </w:p>
    <w:p w14:paraId="3C65BB63" w14:textId="54855068" w:rsidR="004241F1" w:rsidRDefault="004241F1" w:rsidP="00406B7A">
      <w:pPr>
        <w:pStyle w:val="ListParagraph"/>
        <w:numPr>
          <w:ilvl w:val="0"/>
          <w:numId w:val="35"/>
        </w:numPr>
        <w:spacing w:line="22" w:lineRule="atLeast"/>
        <w:ind w:left="720"/>
        <w:rPr>
          <w:rFonts w:asciiTheme="minorHAnsi" w:eastAsiaTheme="minorEastAsia" w:hAnsiTheme="minorHAnsi"/>
          <w:sz w:val="22"/>
        </w:rPr>
      </w:pPr>
      <w:r w:rsidRPr="004241F1">
        <w:rPr>
          <w:rFonts w:asciiTheme="minorHAnsi" w:eastAsiaTheme="minorEastAsia" w:hAnsiTheme="minorHAnsi"/>
          <w:sz w:val="22"/>
        </w:rPr>
        <w:t xml:space="preserve">Capacity </w:t>
      </w:r>
      <w:r>
        <w:rPr>
          <w:rFonts w:asciiTheme="minorHAnsi" w:eastAsiaTheme="minorEastAsia" w:hAnsiTheme="minorHAnsi"/>
          <w:sz w:val="22"/>
        </w:rPr>
        <w:t>factor less than 20%</w:t>
      </w:r>
      <w:r w:rsidR="004F276E">
        <w:rPr>
          <w:rFonts w:asciiTheme="minorHAnsi" w:eastAsiaTheme="minorEastAsia" w:hAnsiTheme="minorHAnsi"/>
          <w:sz w:val="22"/>
        </w:rPr>
        <w:t xml:space="preserve"> - burn only natural gas </w:t>
      </w:r>
      <w:r w:rsidR="000A391A">
        <w:rPr>
          <w:rFonts w:asciiTheme="minorHAnsi" w:eastAsiaTheme="minorEastAsia" w:hAnsiTheme="minorHAnsi"/>
          <w:sz w:val="22"/>
        </w:rPr>
        <w:t xml:space="preserve">and distillate </w:t>
      </w:r>
      <w:proofErr w:type="gramStart"/>
      <w:r w:rsidR="000A391A">
        <w:rPr>
          <w:rFonts w:asciiTheme="minorHAnsi" w:eastAsiaTheme="minorEastAsia" w:hAnsiTheme="minorHAnsi"/>
          <w:sz w:val="22"/>
        </w:rPr>
        <w:t>oil;</w:t>
      </w:r>
      <w:proofErr w:type="gramEnd"/>
    </w:p>
    <w:p w14:paraId="70AF81D2" w14:textId="139C0F6C" w:rsidR="000A391A" w:rsidRDefault="00122DDD" w:rsidP="00406B7A">
      <w:pPr>
        <w:pStyle w:val="ListParagraph"/>
        <w:numPr>
          <w:ilvl w:val="0"/>
          <w:numId w:val="35"/>
        </w:numPr>
        <w:spacing w:line="22" w:lineRule="atLeast"/>
        <w:ind w:left="720"/>
        <w:rPr>
          <w:rFonts w:asciiTheme="minorHAnsi" w:eastAsiaTheme="minorEastAsia" w:hAnsiTheme="minorHAnsi"/>
          <w:sz w:val="22"/>
        </w:rPr>
      </w:pPr>
      <w:r>
        <w:rPr>
          <w:rFonts w:asciiTheme="minorHAnsi" w:eastAsiaTheme="minorEastAsia" w:hAnsiTheme="minorHAnsi"/>
          <w:sz w:val="22"/>
        </w:rPr>
        <w:t xml:space="preserve">Capacity factor greater than 20% but less than 40% - </w:t>
      </w:r>
      <w:r w:rsidR="004F5CA6" w:rsidRPr="004F5CA6">
        <w:rPr>
          <w:rFonts w:asciiTheme="minorHAnsi" w:eastAsiaTheme="minorEastAsia" w:hAnsiTheme="minorHAnsi"/>
          <w:bCs/>
          <w:iCs/>
          <w:sz w:val="22"/>
        </w:rPr>
        <w:t xml:space="preserve">comply with an emission standard </w:t>
      </w:r>
      <w:r w:rsidR="006C6741">
        <w:rPr>
          <w:rFonts w:asciiTheme="minorHAnsi" w:eastAsiaTheme="minorEastAsia" w:hAnsiTheme="minorHAnsi"/>
          <w:bCs/>
          <w:iCs/>
          <w:sz w:val="22"/>
        </w:rPr>
        <w:t>that ranges</w:t>
      </w:r>
      <w:r w:rsidR="004F5CA6" w:rsidRPr="004F5CA6">
        <w:rPr>
          <w:rFonts w:asciiTheme="minorHAnsi" w:eastAsiaTheme="minorEastAsia" w:hAnsiTheme="minorHAnsi"/>
          <w:bCs/>
          <w:iCs/>
          <w:sz w:val="22"/>
        </w:rPr>
        <w:t xml:space="preserve"> from 1,170 to 1,560 </w:t>
      </w:r>
      <w:proofErr w:type="spellStart"/>
      <w:r w:rsidR="004F5CA6" w:rsidRPr="004F5CA6">
        <w:rPr>
          <w:rFonts w:asciiTheme="minorHAnsi" w:eastAsiaTheme="minorEastAsia" w:hAnsiTheme="minorHAnsi"/>
          <w:sz w:val="22"/>
        </w:rPr>
        <w:t>lbs</w:t>
      </w:r>
      <w:proofErr w:type="spellEnd"/>
      <w:r w:rsidR="004F5CA6" w:rsidRPr="004F5CA6">
        <w:rPr>
          <w:rFonts w:asciiTheme="minorHAnsi" w:eastAsiaTheme="minorEastAsia" w:hAnsiTheme="minorHAnsi"/>
          <w:sz w:val="22"/>
        </w:rPr>
        <w:t xml:space="preserve"> CO</w:t>
      </w:r>
      <w:r w:rsidR="004F5CA6" w:rsidRPr="004F5CA6">
        <w:rPr>
          <w:rFonts w:asciiTheme="minorHAnsi" w:eastAsiaTheme="minorEastAsia" w:hAnsiTheme="minorHAnsi"/>
          <w:sz w:val="22"/>
          <w:vertAlign w:val="subscript"/>
        </w:rPr>
        <w:t>2</w:t>
      </w:r>
      <w:r w:rsidR="004F5CA6" w:rsidRPr="004F5CA6">
        <w:rPr>
          <w:rFonts w:asciiTheme="minorHAnsi" w:eastAsiaTheme="minorEastAsia" w:hAnsiTheme="minorHAnsi"/>
          <w:sz w:val="22"/>
        </w:rPr>
        <w:t>/MW-</w:t>
      </w:r>
      <w:proofErr w:type="spellStart"/>
      <w:r w:rsidR="004F5CA6" w:rsidRPr="004F5CA6">
        <w:rPr>
          <w:rFonts w:asciiTheme="minorHAnsi" w:eastAsiaTheme="minorEastAsia" w:hAnsiTheme="minorHAnsi"/>
          <w:sz w:val="22"/>
        </w:rPr>
        <w:t>hr</w:t>
      </w:r>
      <w:proofErr w:type="spellEnd"/>
      <w:r w:rsidR="006C6741">
        <w:rPr>
          <w:rFonts w:asciiTheme="minorHAnsi" w:eastAsiaTheme="minorEastAsia" w:hAnsiTheme="minorHAnsi"/>
          <w:sz w:val="22"/>
        </w:rPr>
        <w:t xml:space="preserve"> depending on how much distillate oil is burned; and</w:t>
      </w:r>
    </w:p>
    <w:p w14:paraId="00DCE8FF" w14:textId="2ECC197C" w:rsidR="006C6741" w:rsidRPr="004241F1" w:rsidRDefault="006C6741" w:rsidP="00406B7A">
      <w:pPr>
        <w:pStyle w:val="ListParagraph"/>
        <w:numPr>
          <w:ilvl w:val="0"/>
          <w:numId w:val="35"/>
        </w:numPr>
        <w:spacing w:line="22" w:lineRule="atLeast"/>
        <w:ind w:left="720"/>
        <w:rPr>
          <w:rFonts w:asciiTheme="minorHAnsi" w:eastAsiaTheme="minorEastAsia" w:hAnsiTheme="minorHAnsi"/>
          <w:sz w:val="22"/>
        </w:rPr>
      </w:pPr>
      <w:r>
        <w:rPr>
          <w:rFonts w:asciiTheme="minorHAnsi" w:eastAsiaTheme="minorEastAsia" w:hAnsiTheme="minorHAnsi"/>
          <w:sz w:val="22"/>
        </w:rPr>
        <w:t xml:space="preserve">Capacity factor greater than 40% - </w:t>
      </w:r>
      <w:r w:rsidR="0090434C" w:rsidRPr="0090434C">
        <w:rPr>
          <w:rFonts w:asciiTheme="minorHAnsi" w:eastAsiaTheme="minorEastAsia" w:hAnsiTheme="minorHAnsi"/>
          <w:sz w:val="22"/>
        </w:rPr>
        <w:t xml:space="preserve">comply with an emission standard </w:t>
      </w:r>
      <w:r w:rsidR="00DD763D">
        <w:rPr>
          <w:rFonts w:asciiTheme="minorHAnsi" w:eastAsiaTheme="minorEastAsia" w:hAnsiTheme="minorHAnsi"/>
          <w:sz w:val="22"/>
        </w:rPr>
        <w:t>that ranges from</w:t>
      </w:r>
      <w:r w:rsidR="00DD763D" w:rsidRPr="0090434C">
        <w:rPr>
          <w:rFonts w:asciiTheme="minorHAnsi" w:eastAsiaTheme="minorEastAsia" w:hAnsiTheme="minorHAnsi"/>
          <w:sz w:val="22"/>
        </w:rPr>
        <w:t xml:space="preserve"> </w:t>
      </w:r>
      <w:r w:rsidR="0090434C" w:rsidRPr="0090434C">
        <w:rPr>
          <w:rFonts w:asciiTheme="minorHAnsi" w:eastAsiaTheme="minorEastAsia" w:hAnsiTheme="minorHAnsi"/>
          <w:bCs/>
          <w:iCs/>
          <w:sz w:val="22"/>
        </w:rPr>
        <w:t xml:space="preserve">800 </w:t>
      </w:r>
      <w:r w:rsidR="00DD763D">
        <w:rPr>
          <w:rFonts w:asciiTheme="minorHAnsi" w:eastAsiaTheme="minorEastAsia" w:hAnsiTheme="minorHAnsi"/>
          <w:bCs/>
          <w:iCs/>
          <w:sz w:val="22"/>
        </w:rPr>
        <w:t>to 1,067</w:t>
      </w:r>
      <w:r w:rsidR="0090434C" w:rsidRPr="0090434C">
        <w:rPr>
          <w:rFonts w:asciiTheme="minorHAnsi" w:eastAsiaTheme="minorEastAsia" w:hAnsiTheme="minorHAnsi"/>
          <w:bCs/>
          <w:iCs/>
          <w:sz w:val="22"/>
        </w:rPr>
        <w:t xml:space="preserve"> </w:t>
      </w:r>
      <w:proofErr w:type="spellStart"/>
      <w:r w:rsidR="0090434C" w:rsidRPr="0090434C">
        <w:rPr>
          <w:rFonts w:asciiTheme="minorHAnsi" w:eastAsiaTheme="minorEastAsia" w:hAnsiTheme="minorHAnsi"/>
          <w:sz w:val="22"/>
        </w:rPr>
        <w:t>lbs</w:t>
      </w:r>
      <w:proofErr w:type="spellEnd"/>
      <w:r w:rsidR="0090434C" w:rsidRPr="0090434C">
        <w:rPr>
          <w:rFonts w:asciiTheme="minorHAnsi" w:eastAsiaTheme="minorEastAsia" w:hAnsiTheme="minorHAnsi"/>
          <w:sz w:val="22"/>
        </w:rPr>
        <w:t xml:space="preserve"> CO</w:t>
      </w:r>
      <w:r w:rsidR="0090434C" w:rsidRPr="0090434C">
        <w:rPr>
          <w:rFonts w:asciiTheme="minorHAnsi" w:eastAsiaTheme="minorEastAsia" w:hAnsiTheme="minorHAnsi"/>
          <w:sz w:val="22"/>
          <w:vertAlign w:val="subscript"/>
        </w:rPr>
        <w:t>2</w:t>
      </w:r>
      <w:r w:rsidR="0090434C" w:rsidRPr="0090434C">
        <w:rPr>
          <w:rFonts w:asciiTheme="minorHAnsi" w:eastAsiaTheme="minorEastAsia" w:hAnsiTheme="minorHAnsi"/>
          <w:sz w:val="22"/>
        </w:rPr>
        <w:t>/MW-</w:t>
      </w:r>
      <w:proofErr w:type="spellStart"/>
      <w:r w:rsidR="0090434C" w:rsidRPr="0090434C">
        <w:rPr>
          <w:rFonts w:asciiTheme="minorHAnsi" w:eastAsiaTheme="minorEastAsia" w:hAnsiTheme="minorHAnsi"/>
          <w:sz w:val="22"/>
        </w:rPr>
        <w:t>hr</w:t>
      </w:r>
      <w:proofErr w:type="spellEnd"/>
      <w:r w:rsidR="0090434C">
        <w:rPr>
          <w:rFonts w:asciiTheme="minorHAnsi" w:eastAsiaTheme="minorEastAsia" w:hAnsiTheme="minorHAnsi"/>
          <w:sz w:val="22"/>
        </w:rPr>
        <w:t xml:space="preserve"> </w:t>
      </w:r>
      <w:r w:rsidR="00DD763D">
        <w:rPr>
          <w:rFonts w:asciiTheme="minorHAnsi" w:eastAsiaTheme="minorEastAsia" w:hAnsiTheme="minorHAnsi"/>
          <w:sz w:val="22"/>
        </w:rPr>
        <w:t xml:space="preserve">depending on how much distillate oil is burned </w:t>
      </w:r>
      <w:r w:rsidR="00DE1463">
        <w:rPr>
          <w:rFonts w:asciiTheme="minorHAnsi" w:eastAsiaTheme="minorEastAsia" w:hAnsiTheme="minorHAnsi"/>
          <w:sz w:val="22"/>
        </w:rPr>
        <w:t xml:space="preserve">until 2032 at which time </w:t>
      </w:r>
      <w:r w:rsidR="00EA3BAE">
        <w:rPr>
          <w:rFonts w:asciiTheme="minorHAnsi" w:eastAsiaTheme="minorEastAsia" w:hAnsiTheme="minorHAnsi"/>
          <w:sz w:val="22"/>
        </w:rPr>
        <w:t>CCS</w:t>
      </w:r>
      <w:r w:rsidR="009F46AF" w:rsidRPr="009F46AF">
        <w:rPr>
          <w:rFonts w:asciiTheme="minorHAnsi" w:eastAsiaTheme="minorEastAsia" w:hAnsiTheme="minorHAnsi"/>
          <w:sz w:val="22"/>
        </w:rPr>
        <w:t xml:space="preserve"> is required</w:t>
      </w:r>
      <w:r w:rsidR="009F46AF">
        <w:rPr>
          <w:rFonts w:asciiTheme="minorHAnsi" w:eastAsiaTheme="minorEastAsia" w:hAnsiTheme="minorHAnsi"/>
          <w:sz w:val="22"/>
        </w:rPr>
        <w:t>.</w:t>
      </w:r>
    </w:p>
    <w:p w14:paraId="01D1AA00" w14:textId="4A935D12" w:rsidR="00275FEF" w:rsidRDefault="002C12AD" w:rsidP="00754A5F">
      <w:pPr>
        <w:rPr>
          <w:bCs/>
          <w:iCs/>
        </w:rPr>
      </w:pPr>
      <w:r>
        <w:rPr>
          <w:bCs/>
          <w:iCs/>
        </w:rPr>
        <w:t>Geo</w:t>
      </w:r>
      <w:r w:rsidR="00C451F9">
        <w:rPr>
          <w:bCs/>
          <w:iCs/>
        </w:rPr>
        <w:t>r</w:t>
      </w:r>
      <w:r w:rsidR="00556661">
        <w:rPr>
          <w:bCs/>
          <w:iCs/>
        </w:rPr>
        <w:t xml:space="preserve">gia Power’s compliance strategy for these units is </w:t>
      </w:r>
      <w:r w:rsidR="00B0460F">
        <w:rPr>
          <w:bCs/>
          <w:iCs/>
        </w:rPr>
        <w:t>limiting capacity factors to 40%. The Company does not need additional investment in these units to comply with the regulation.</w:t>
      </w:r>
    </w:p>
    <w:p w14:paraId="71F0C769" w14:textId="58DA0568" w:rsidR="00F16BEA" w:rsidRDefault="005B79C2" w:rsidP="00754A5F">
      <w:pPr>
        <w:rPr>
          <w:bCs/>
          <w:iCs/>
        </w:rPr>
      </w:pPr>
      <w:r>
        <w:rPr>
          <w:bCs/>
          <w:iCs/>
        </w:rPr>
        <w:t xml:space="preserve">For </w:t>
      </w:r>
      <w:r w:rsidR="00F3312E">
        <w:rPr>
          <w:bCs/>
          <w:iCs/>
        </w:rPr>
        <w:t>Yates Units 6-7</w:t>
      </w:r>
      <w:r w:rsidR="00F56323">
        <w:rPr>
          <w:bCs/>
          <w:iCs/>
        </w:rPr>
        <w:t>,</w:t>
      </w:r>
      <w:r w:rsidR="00A312EF">
        <w:rPr>
          <w:bCs/>
          <w:iCs/>
        </w:rPr>
        <w:t xml:space="preserve"> as well as Bowen Units 1-4 and Scherer Units 1-3, t</w:t>
      </w:r>
      <w:r w:rsidR="00D3109D">
        <w:rPr>
          <w:bCs/>
          <w:iCs/>
        </w:rPr>
        <w:t xml:space="preserve">here is additional </w:t>
      </w:r>
      <w:r w:rsidR="00611A31">
        <w:rPr>
          <w:bCs/>
          <w:iCs/>
        </w:rPr>
        <w:t xml:space="preserve">uncertainty for existing fossil fuel-fired steam generating units as </w:t>
      </w:r>
      <w:r w:rsidR="00193166">
        <w:rPr>
          <w:bCs/>
          <w:iCs/>
        </w:rPr>
        <w:t xml:space="preserve">finalization of these requirements is predicated on EPA approval of the </w:t>
      </w:r>
      <w:r w:rsidR="00AF1CFA">
        <w:rPr>
          <w:bCs/>
          <w:iCs/>
        </w:rPr>
        <w:t>state-specific plan</w:t>
      </w:r>
      <w:r w:rsidR="00193166">
        <w:rPr>
          <w:bCs/>
          <w:iCs/>
        </w:rPr>
        <w:t xml:space="preserve"> submitted by Georgia EPD.</w:t>
      </w:r>
      <w:r w:rsidR="003A6BC9">
        <w:rPr>
          <w:bCs/>
          <w:iCs/>
        </w:rPr>
        <w:t xml:space="preserve"> </w:t>
      </w:r>
      <w:r w:rsidR="007E0628">
        <w:rPr>
          <w:bCs/>
          <w:iCs/>
        </w:rPr>
        <w:t>In the plan, Georgia EPD will establish performance standards for these sources based on EPA’s guidelines</w:t>
      </w:r>
      <w:r w:rsidR="00037F19">
        <w:rPr>
          <w:bCs/>
          <w:iCs/>
        </w:rPr>
        <w:t>, which contain “presumptively approvable” standards for</w:t>
      </w:r>
      <w:r w:rsidR="007450AE">
        <w:rPr>
          <w:bCs/>
          <w:iCs/>
        </w:rPr>
        <w:t xml:space="preserve"> </w:t>
      </w:r>
      <w:r w:rsidR="007D017A">
        <w:rPr>
          <w:bCs/>
          <w:iCs/>
        </w:rPr>
        <w:t xml:space="preserve">subcategories of </w:t>
      </w:r>
      <w:r w:rsidR="007450AE">
        <w:rPr>
          <w:bCs/>
          <w:iCs/>
        </w:rPr>
        <w:t>existing coal and gas-steam resources</w:t>
      </w:r>
      <w:r w:rsidR="007E0628">
        <w:rPr>
          <w:bCs/>
          <w:iCs/>
        </w:rPr>
        <w:t>. However, t</w:t>
      </w:r>
      <w:r w:rsidR="003364A6">
        <w:rPr>
          <w:bCs/>
          <w:iCs/>
        </w:rPr>
        <w:t xml:space="preserve">he </w:t>
      </w:r>
      <w:r w:rsidR="00AF1CFA">
        <w:rPr>
          <w:bCs/>
          <w:iCs/>
        </w:rPr>
        <w:t>plan</w:t>
      </w:r>
      <w:r w:rsidR="003364A6">
        <w:rPr>
          <w:bCs/>
          <w:iCs/>
        </w:rPr>
        <w:t xml:space="preserve"> will not be submitted until May 2026</w:t>
      </w:r>
      <w:r w:rsidR="00CD3121">
        <w:rPr>
          <w:bCs/>
          <w:iCs/>
        </w:rPr>
        <w:t>,</w:t>
      </w:r>
      <w:r w:rsidR="003364A6">
        <w:rPr>
          <w:bCs/>
          <w:iCs/>
        </w:rPr>
        <w:t xml:space="preserve"> and approval from EPA will not occur until July 2027.</w:t>
      </w:r>
      <w:r w:rsidR="007C14B7">
        <w:rPr>
          <w:bCs/>
          <w:iCs/>
        </w:rPr>
        <w:t xml:space="preserve"> </w:t>
      </w:r>
      <w:r w:rsidR="00402640">
        <w:rPr>
          <w:bCs/>
          <w:iCs/>
        </w:rPr>
        <w:t xml:space="preserve">Gaston Units 1-4 will similarly be subject to a state plan developed by </w:t>
      </w:r>
      <w:r w:rsidR="00A47995">
        <w:rPr>
          <w:bCs/>
          <w:iCs/>
        </w:rPr>
        <w:t>ADEM.</w:t>
      </w:r>
    </w:p>
    <w:p w14:paraId="0FAE1236" w14:textId="649D4198" w:rsidR="00CD6E1A" w:rsidRDefault="00CD6E1A" w:rsidP="00754A5F">
      <w:pPr>
        <w:rPr>
          <w:bCs/>
          <w:iCs/>
        </w:rPr>
      </w:pPr>
      <w:r>
        <w:rPr>
          <w:bCs/>
          <w:iCs/>
        </w:rPr>
        <w:t xml:space="preserve">Yates Units 6-7 </w:t>
      </w:r>
      <w:r w:rsidR="005A5DEE">
        <w:rPr>
          <w:bCs/>
          <w:iCs/>
        </w:rPr>
        <w:t xml:space="preserve">meet the </w:t>
      </w:r>
      <w:r w:rsidR="00720C81">
        <w:rPr>
          <w:bCs/>
          <w:iCs/>
        </w:rPr>
        <w:t xml:space="preserve">definition of </w:t>
      </w:r>
      <w:r w:rsidR="005B3C45">
        <w:rPr>
          <w:bCs/>
          <w:iCs/>
        </w:rPr>
        <w:t xml:space="preserve">the </w:t>
      </w:r>
      <w:r w:rsidR="005A5DEE">
        <w:rPr>
          <w:bCs/>
          <w:iCs/>
        </w:rPr>
        <w:t xml:space="preserve">“baseload natural gas” subcategory for existing fossil fuel-fired units </w:t>
      </w:r>
      <w:r w:rsidR="007025FD">
        <w:rPr>
          <w:bCs/>
          <w:iCs/>
        </w:rPr>
        <w:t>and will comply with the 1,400 lb CO</w:t>
      </w:r>
      <w:r w:rsidR="007025FD" w:rsidRPr="007D1A88">
        <w:rPr>
          <w:vertAlign w:val="subscript"/>
        </w:rPr>
        <w:t>2</w:t>
      </w:r>
      <w:r w:rsidR="007025FD">
        <w:rPr>
          <w:bCs/>
          <w:iCs/>
        </w:rPr>
        <w:t xml:space="preserve">/MWh presumptively approvable emissions limit for this subcategory. </w:t>
      </w:r>
      <w:r w:rsidR="00DF5486">
        <w:rPr>
          <w:bCs/>
          <w:iCs/>
        </w:rPr>
        <w:t>These units were previously converted to natural gas as part of the Company’s MATS compliance strategy</w:t>
      </w:r>
      <w:r w:rsidR="00C87505">
        <w:rPr>
          <w:bCs/>
          <w:iCs/>
        </w:rPr>
        <w:t xml:space="preserve"> and have </w:t>
      </w:r>
      <w:r w:rsidR="00412F80">
        <w:rPr>
          <w:bCs/>
          <w:iCs/>
        </w:rPr>
        <w:t>achieved this level of performance since t</w:t>
      </w:r>
      <w:r w:rsidR="008C55BA">
        <w:rPr>
          <w:bCs/>
          <w:iCs/>
        </w:rPr>
        <w:t>he convers</w:t>
      </w:r>
      <w:r w:rsidR="004D2550">
        <w:rPr>
          <w:bCs/>
          <w:iCs/>
        </w:rPr>
        <w:t>ion</w:t>
      </w:r>
      <w:r w:rsidR="00DF5486">
        <w:rPr>
          <w:bCs/>
          <w:iCs/>
        </w:rPr>
        <w:t>. Georgia Power expects current operations will comply with this limit</w:t>
      </w:r>
      <w:r w:rsidR="00571A3F">
        <w:rPr>
          <w:bCs/>
          <w:iCs/>
        </w:rPr>
        <w:t xml:space="preserve"> and no additional investment is needed to comply with the presum</w:t>
      </w:r>
      <w:r w:rsidR="00794303">
        <w:rPr>
          <w:bCs/>
          <w:iCs/>
        </w:rPr>
        <w:t>ptively approvable standard</w:t>
      </w:r>
      <w:r w:rsidR="00DF5486">
        <w:rPr>
          <w:bCs/>
          <w:iCs/>
        </w:rPr>
        <w:t>.</w:t>
      </w:r>
      <w:r w:rsidR="00365843">
        <w:rPr>
          <w:bCs/>
          <w:iCs/>
        </w:rPr>
        <w:t xml:space="preserve"> </w:t>
      </w:r>
    </w:p>
    <w:p w14:paraId="0178B30F" w14:textId="60608771" w:rsidR="00041556" w:rsidRDefault="75E277B0" w:rsidP="00041556">
      <w:r>
        <w:t xml:space="preserve">Gaston Units 1-4 utilize natural gas as the primary fuel with coal backup. </w:t>
      </w:r>
      <w:r w:rsidR="00041556">
        <w:t xml:space="preserve">Because natural gas is already the primary fuel, </w:t>
      </w:r>
      <w:r w:rsidR="00672753">
        <w:t xml:space="preserve">Georgia Power also expects </w:t>
      </w:r>
      <w:r w:rsidR="4156C674">
        <w:t>this existing capability will be considered as a compliance option</w:t>
      </w:r>
      <w:r w:rsidR="00672753">
        <w:t xml:space="preserve"> with the 111 GHG Rule and </w:t>
      </w:r>
      <w:r w:rsidR="1D504865">
        <w:t xml:space="preserve">would be addressed in </w:t>
      </w:r>
      <w:r w:rsidR="00672753">
        <w:t xml:space="preserve">the state plan </w:t>
      </w:r>
      <w:r w:rsidR="4B8984FE">
        <w:t xml:space="preserve">that will be </w:t>
      </w:r>
      <w:r w:rsidR="00672753">
        <w:t>developed by ADEM.</w:t>
      </w:r>
      <w:r w:rsidR="00041556">
        <w:t xml:space="preserve"> </w:t>
      </w:r>
    </w:p>
    <w:p w14:paraId="331C8CCC" w14:textId="5C0E9A85" w:rsidR="003D6BC2" w:rsidRDefault="006949B7" w:rsidP="00754A5F">
      <w:r>
        <w:rPr>
          <w:bCs/>
          <w:iCs/>
        </w:rPr>
        <w:t xml:space="preserve">Bowen Units 1-4 and Scherer Units 1-3 </w:t>
      </w:r>
      <w:r w:rsidR="00BD34FC">
        <w:rPr>
          <w:bCs/>
          <w:iCs/>
        </w:rPr>
        <w:t xml:space="preserve">can comply with </w:t>
      </w:r>
      <w:r w:rsidR="00EF3EC7">
        <w:rPr>
          <w:bCs/>
          <w:iCs/>
        </w:rPr>
        <w:t xml:space="preserve">the rule by one of three pathways: </w:t>
      </w:r>
      <w:r w:rsidR="00A55C94">
        <w:rPr>
          <w:bCs/>
          <w:iCs/>
        </w:rPr>
        <w:t>(</w:t>
      </w:r>
      <w:r w:rsidR="009126D1">
        <w:t xml:space="preserve">1) retire by January 1, 2032; </w:t>
      </w:r>
      <w:r w:rsidR="00A55C94">
        <w:t>(</w:t>
      </w:r>
      <w:r w:rsidR="009126D1">
        <w:t xml:space="preserve">2) install and operate CCS by January 1, 2032; or </w:t>
      </w:r>
      <w:r w:rsidR="00A55C94">
        <w:t>(</w:t>
      </w:r>
      <w:r w:rsidR="009126D1">
        <w:t>3) co</w:t>
      </w:r>
      <w:r w:rsidR="00A55C94">
        <w:t>-</w:t>
      </w:r>
      <w:r w:rsidR="009126D1">
        <w:t xml:space="preserve">fire natural gas by January 1, </w:t>
      </w:r>
      <w:proofErr w:type="gramStart"/>
      <w:r w:rsidR="009126D1">
        <w:t>2030</w:t>
      </w:r>
      <w:proofErr w:type="gramEnd"/>
      <w:r w:rsidR="009126D1">
        <w:t xml:space="preserve"> and retire by January 1, 2039.</w:t>
      </w:r>
      <w:r w:rsidR="00AD00EE">
        <w:t xml:space="preserve"> The first option to retire by January 1, </w:t>
      </w:r>
      <w:proofErr w:type="gramStart"/>
      <w:r w:rsidR="00AD00EE">
        <w:t>2032</w:t>
      </w:r>
      <w:proofErr w:type="gramEnd"/>
      <w:r w:rsidR="00AD00EE">
        <w:t xml:space="preserve"> is not feasible </w:t>
      </w:r>
      <w:r w:rsidR="00954EFA">
        <w:t xml:space="preserve">while maintaining reliability, </w:t>
      </w:r>
      <w:r w:rsidR="00BB16EF">
        <w:t xml:space="preserve">building replacement generation capacity, and taking actions </w:t>
      </w:r>
      <w:r w:rsidR="00AD00EE">
        <w:t>to meet the</w:t>
      </w:r>
      <w:r w:rsidR="00CF516E">
        <w:t xml:space="preserve"> significant</w:t>
      </w:r>
      <w:r w:rsidR="00AD00EE">
        <w:t xml:space="preserve"> load growth that </w:t>
      </w:r>
      <w:r w:rsidR="00D17789">
        <w:t xml:space="preserve">the Company </w:t>
      </w:r>
      <w:r w:rsidR="00CF516E">
        <w:t xml:space="preserve">projects. </w:t>
      </w:r>
      <w:r w:rsidR="000A574D">
        <w:rPr>
          <w:bCs/>
          <w:iCs/>
        </w:rPr>
        <w:t xml:space="preserve">A compliance strategy that includes CCS has significant risks, such as large upfront capital costs, unknown technical feasibility of </w:t>
      </w:r>
      <w:r w:rsidR="00807132">
        <w:rPr>
          <w:bCs/>
          <w:iCs/>
        </w:rPr>
        <w:t>CCS</w:t>
      </w:r>
      <w:r w:rsidR="001A5FC1">
        <w:rPr>
          <w:bCs/>
          <w:iCs/>
        </w:rPr>
        <w:t xml:space="preserve"> at scale</w:t>
      </w:r>
      <w:r w:rsidR="000A574D">
        <w:rPr>
          <w:bCs/>
          <w:iCs/>
        </w:rPr>
        <w:t xml:space="preserve"> </w:t>
      </w:r>
      <w:r w:rsidR="00807132">
        <w:rPr>
          <w:bCs/>
          <w:iCs/>
        </w:rPr>
        <w:t>and</w:t>
      </w:r>
      <w:r w:rsidR="008A71AE">
        <w:rPr>
          <w:bCs/>
          <w:iCs/>
        </w:rPr>
        <w:t xml:space="preserve"> </w:t>
      </w:r>
      <w:r w:rsidR="000A574D">
        <w:rPr>
          <w:bCs/>
          <w:iCs/>
        </w:rPr>
        <w:t>of geological storage</w:t>
      </w:r>
      <w:r w:rsidR="008A71AE">
        <w:rPr>
          <w:bCs/>
          <w:iCs/>
        </w:rPr>
        <w:t xml:space="preserve"> availability</w:t>
      </w:r>
      <w:r w:rsidR="000A574D">
        <w:rPr>
          <w:bCs/>
          <w:iCs/>
        </w:rPr>
        <w:t>, availability of CO</w:t>
      </w:r>
      <w:r w:rsidR="000A574D" w:rsidRPr="001C2DC5">
        <w:rPr>
          <w:bCs/>
          <w:iCs/>
          <w:vertAlign w:val="subscript"/>
        </w:rPr>
        <w:t>2</w:t>
      </w:r>
      <w:r w:rsidR="000A574D">
        <w:rPr>
          <w:bCs/>
          <w:iCs/>
        </w:rPr>
        <w:t xml:space="preserve"> pipelines, and ability to secure Class VI injection well permits to store CO</w:t>
      </w:r>
      <w:r w:rsidR="000A574D" w:rsidRPr="001C2DC5">
        <w:rPr>
          <w:bCs/>
          <w:iCs/>
          <w:vertAlign w:val="subscript"/>
        </w:rPr>
        <w:t>2</w:t>
      </w:r>
      <w:r w:rsidR="000A574D">
        <w:rPr>
          <w:bCs/>
          <w:iCs/>
        </w:rPr>
        <w:t xml:space="preserve">. Due to these risks, CCS </w:t>
      </w:r>
      <w:r w:rsidR="004F1692">
        <w:rPr>
          <w:bCs/>
          <w:iCs/>
        </w:rPr>
        <w:t>is not</w:t>
      </w:r>
      <w:r w:rsidR="000A574D">
        <w:rPr>
          <w:bCs/>
          <w:iCs/>
        </w:rPr>
        <w:t xml:space="preserve"> a feasible option on the </w:t>
      </w:r>
      <w:r w:rsidR="000A574D">
        <w:rPr>
          <w:bCs/>
          <w:iCs/>
        </w:rPr>
        <w:lastRenderedPageBreak/>
        <w:t xml:space="preserve">compliance schedule of the </w:t>
      </w:r>
      <w:r w:rsidR="00A55C94">
        <w:rPr>
          <w:bCs/>
          <w:iCs/>
        </w:rPr>
        <w:t>111 GHG R</w:t>
      </w:r>
      <w:r w:rsidR="000A574D">
        <w:rPr>
          <w:bCs/>
          <w:iCs/>
        </w:rPr>
        <w:t xml:space="preserve">ule. </w:t>
      </w:r>
      <w:r w:rsidR="00281713">
        <w:t>Therefore, Georgia Power</w:t>
      </w:r>
      <w:r w:rsidR="005347BA">
        <w:t>’s compliance strategy for existing coal units is to co</w:t>
      </w:r>
      <w:r w:rsidR="00A55C94">
        <w:t>-</w:t>
      </w:r>
      <w:r w:rsidR="005347BA">
        <w:t xml:space="preserve">fire natural gas beginning January 1, 2030, with retirement of these units by January 1, 2039. This decision is supported by </w:t>
      </w:r>
      <w:r w:rsidR="008656A4">
        <w:t xml:space="preserve">the Company’s planning tools </w:t>
      </w:r>
      <w:r w:rsidR="00AF3245">
        <w:t>such as</w:t>
      </w:r>
      <w:r w:rsidR="008656A4">
        <w:t xml:space="preserve"> Unit Retirement Studies</w:t>
      </w:r>
      <w:r w:rsidR="00C76FDF">
        <w:t xml:space="preserve"> and other scenario </w:t>
      </w:r>
      <w:r w:rsidR="0051507C">
        <w:t>analyses</w:t>
      </w:r>
      <w:r w:rsidR="008656A4">
        <w:t>, which</w:t>
      </w:r>
      <w:r w:rsidR="00A34BC8">
        <w:t xml:space="preserve"> indicate co</w:t>
      </w:r>
      <w:r w:rsidR="0051507C">
        <w:t>-</w:t>
      </w:r>
      <w:r w:rsidR="00A34BC8">
        <w:t>firing is the most cost-effective, technically feasible compliance pathway</w:t>
      </w:r>
      <w:r w:rsidR="00AF3245">
        <w:t>.</w:t>
      </w:r>
    </w:p>
    <w:p w14:paraId="4CC8C799" w14:textId="23084A00" w:rsidR="00AF3245" w:rsidRDefault="009F3290" w:rsidP="00754A5F">
      <w:pPr>
        <w:rPr>
          <w:bCs/>
          <w:iCs/>
        </w:rPr>
      </w:pPr>
      <w:r>
        <w:t>The presumptively approvable emissions standard (40% natural gas co</w:t>
      </w:r>
      <w:r w:rsidR="0051507C">
        <w:t>-</w:t>
      </w:r>
      <w:r>
        <w:t xml:space="preserve">firing) and </w:t>
      </w:r>
      <w:r w:rsidR="00341D95">
        <w:t>the January 1, 2030</w:t>
      </w:r>
      <w:r w:rsidR="00E70355">
        <w:t>,</w:t>
      </w:r>
      <w:r w:rsidR="00341D95">
        <w:t xml:space="preserve"> </w:t>
      </w:r>
      <w:r>
        <w:t xml:space="preserve">compliance date are subject to </w:t>
      </w:r>
      <w:r w:rsidR="00341D95">
        <w:t>further analysis, which is ongoing at the time of this filing.</w:t>
      </w:r>
      <w:r w:rsidR="00E30361">
        <w:t xml:space="preserve"> Both the emissions standard and compliance date</w:t>
      </w:r>
      <w:r w:rsidR="00296853">
        <w:t xml:space="preserve"> will be finalized through </w:t>
      </w:r>
      <w:r w:rsidR="00BB2BF1">
        <w:t>en</w:t>
      </w:r>
      <w:r w:rsidR="000723E5">
        <w:t>gag</w:t>
      </w:r>
      <w:r w:rsidR="00AD3356">
        <w:t>e</w:t>
      </w:r>
      <w:r w:rsidR="000723E5">
        <w:t>ment</w:t>
      </w:r>
      <w:r w:rsidR="00BB2BF1">
        <w:t xml:space="preserve"> with Georgia EPD during the </w:t>
      </w:r>
      <w:r w:rsidR="0051507C">
        <w:t>state</w:t>
      </w:r>
      <w:r w:rsidR="00BB2BF1" w:rsidDel="0051507C">
        <w:t xml:space="preserve"> </w:t>
      </w:r>
      <w:r w:rsidR="0051507C">
        <w:t>plan</w:t>
      </w:r>
      <w:r w:rsidR="00BB2BF1">
        <w:t xml:space="preserve"> process and</w:t>
      </w:r>
      <w:r w:rsidR="00675B31">
        <w:t xml:space="preserve"> </w:t>
      </w:r>
      <w:r w:rsidR="008D3904">
        <w:t>are</w:t>
      </w:r>
      <w:r w:rsidR="00BB2BF1">
        <w:t xml:space="preserve"> contingent on approval by EPA.</w:t>
      </w:r>
      <w:r w:rsidR="002B774F">
        <w:t xml:space="preserve"> </w:t>
      </w:r>
      <w:r w:rsidR="00985E3A">
        <w:t xml:space="preserve">The </w:t>
      </w:r>
      <w:r w:rsidR="00823B4A">
        <w:t>final</w:t>
      </w:r>
      <w:r w:rsidR="003D75C5">
        <w:t xml:space="preserve"> </w:t>
      </w:r>
      <w:r w:rsidR="00985E3A">
        <w:t>emissions standard</w:t>
      </w:r>
      <w:r w:rsidR="00823B4A">
        <w:t>s</w:t>
      </w:r>
      <w:r w:rsidR="00FD6B35">
        <w:t xml:space="preserve"> and compliance </w:t>
      </w:r>
      <w:r w:rsidR="00985E3A">
        <w:t>date</w:t>
      </w:r>
      <w:r w:rsidR="00823B4A">
        <w:t>s</w:t>
      </w:r>
      <w:r w:rsidR="009D4CEF">
        <w:t xml:space="preserve"> may </w:t>
      </w:r>
      <w:r w:rsidR="00823B4A">
        <w:t>differ from those in EPA’s guidelines through</w:t>
      </w:r>
      <w:r w:rsidR="00A1319C">
        <w:t xml:space="preserve"> a process </w:t>
      </w:r>
      <w:r w:rsidR="009D4CEF">
        <w:t>known as</w:t>
      </w:r>
      <w:r w:rsidR="00A1319C">
        <w:t xml:space="preserve"> Remaining Useful Life and Other Factors (“RULOF”)</w:t>
      </w:r>
      <w:r w:rsidR="007225BC">
        <w:t>. In RULOF</w:t>
      </w:r>
      <w:r w:rsidR="003D75C5">
        <w:t xml:space="preserve">, the state </w:t>
      </w:r>
      <w:r w:rsidR="0058213A">
        <w:t xml:space="preserve">can </w:t>
      </w:r>
      <w:r w:rsidR="003D75C5">
        <w:t xml:space="preserve">show “fundamental differences” between a facility’s circumstances and the assumptions EPA used to develop the </w:t>
      </w:r>
      <w:r w:rsidR="0058213A">
        <w:t>rule to request a</w:t>
      </w:r>
      <w:r w:rsidR="00EF2964">
        <w:t>n alternative standard or compliance date.</w:t>
      </w:r>
      <w:r w:rsidR="00A1319C">
        <w:t xml:space="preserve"> </w:t>
      </w:r>
      <w:r w:rsidR="002B774F">
        <w:t>Geo</w:t>
      </w:r>
      <w:r w:rsidR="00BA15F4">
        <w:t>r</w:t>
      </w:r>
      <w:r w:rsidR="002B774F">
        <w:t>gia Power is in the process of conducting engineering studies to evaluate technical feasibility and operational impact</w:t>
      </w:r>
      <w:r w:rsidR="00D67411">
        <w:t>s</w:t>
      </w:r>
      <w:r w:rsidR="002B774F">
        <w:t xml:space="preserve"> of co</w:t>
      </w:r>
      <w:r w:rsidR="004E3E8E">
        <w:t>-</w:t>
      </w:r>
      <w:r w:rsidR="002B774F">
        <w:t>firing.</w:t>
      </w:r>
    </w:p>
    <w:p w14:paraId="5B1D5A02" w14:textId="1CD3DC5F" w:rsidR="003E6CBA" w:rsidRDefault="003E6CBA" w:rsidP="00754A5F">
      <w:r>
        <w:t>The final outcome</w:t>
      </w:r>
      <w:r w:rsidR="002B79E7">
        <w:t>s</w:t>
      </w:r>
      <w:r>
        <w:t xml:space="preserve"> </w:t>
      </w:r>
      <w:r w:rsidR="00A33CDE">
        <w:t xml:space="preserve">of </w:t>
      </w:r>
      <w:r w:rsidR="00F90CFA">
        <w:t xml:space="preserve">ongoing litigation, potential </w:t>
      </w:r>
      <w:r w:rsidR="00D433EE">
        <w:t>executive</w:t>
      </w:r>
      <w:r w:rsidR="00F90CFA">
        <w:t xml:space="preserve"> actions, and potential subsequent rulemaking</w:t>
      </w:r>
      <w:r w:rsidR="00A33CDE">
        <w:t xml:space="preserve"> may take years to </w:t>
      </w:r>
      <w:r w:rsidR="00E05D8B">
        <w:t>resolve</w:t>
      </w:r>
      <w:r>
        <w:t>. Th</w:t>
      </w:r>
      <w:r w:rsidR="003E0228">
        <w:t xml:space="preserve">is uncertainty </w:t>
      </w:r>
      <w:r>
        <w:t>require</w:t>
      </w:r>
      <w:r w:rsidR="003E0228">
        <w:t>s</w:t>
      </w:r>
      <w:r>
        <w:t xml:space="preserve"> the Company to </w:t>
      </w:r>
      <w:r w:rsidR="003E0228">
        <w:t>begin work towards</w:t>
      </w:r>
      <w:r>
        <w:t xml:space="preserve"> compliance </w:t>
      </w:r>
      <w:r w:rsidR="00E05D8B">
        <w:t xml:space="preserve">with final regulations at the time of this filing </w:t>
      </w:r>
      <w:r>
        <w:t xml:space="preserve">while staying flexible for various </w:t>
      </w:r>
      <w:r w:rsidR="00E05D8B">
        <w:t>outcomes</w:t>
      </w:r>
      <w:r>
        <w:t xml:space="preserve">, including the suspension of some or all rule requirements. </w:t>
      </w:r>
      <w:r w:rsidR="00363701">
        <w:t xml:space="preserve">The Company will continue </w:t>
      </w:r>
      <w:r w:rsidR="00F17F26">
        <w:t>as outlined above</w:t>
      </w:r>
      <w:r w:rsidR="00363701">
        <w:t xml:space="preserve"> </w:t>
      </w:r>
      <w:r w:rsidR="000F6553">
        <w:t>until such time as the</w:t>
      </w:r>
      <w:r w:rsidR="0006322F">
        <w:t>re is more certainty on the</w:t>
      </w:r>
      <w:r w:rsidR="000F6553">
        <w:t xml:space="preserve"> ultimate outcome </w:t>
      </w:r>
      <w:r w:rsidR="00390057">
        <w:t>for the regulatio</w:t>
      </w:r>
      <w:r w:rsidR="0006322F">
        <w:t>n</w:t>
      </w:r>
      <w:r w:rsidR="00D27D76">
        <w:t>,</w:t>
      </w:r>
      <w:r w:rsidR="00362D20">
        <w:t xml:space="preserve"> at which time the Company will reevaluate and </w:t>
      </w:r>
      <w:r w:rsidR="00DB36E9">
        <w:t>adapt the compliance strategy as appropriate</w:t>
      </w:r>
      <w:r w:rsidR="00363701">
        <w:t>.</w:t>
      </w:r>
      <w:r>
        <w:t xml:space="preserve"> </w:t>
      </w:r>
    </w:p>
    <w:p w14:paraId="65F1721A" w14:textId="3C3349E0" w:rsidR="002E0878" w:rsidRPr="00060673" w:rsidRDefault="006E4B3D" w:rsidP="00060673">
      <w:pPr>
        <w:pStyle w:val="Heading1"/>
      </w:pPr>
      <w:bookmarkStart w:id="65" w:name="_Toc188252329"/>
      <w:r w:rsidRPr="004E104D">
        <w:t>3</w:t>
      </w:r>
      <w:r w:rsidR="00312087" w:rsidRPr="004E104D">
        <w:t>.0</w:t>
      </w:r>
      <w:r w:rsidR="002E0878" w:rsidRPr="004E104D">
        <w:t xml:space="preserve"> Financial Summary</w:t>
      </w:r>
      <w:bookmarkEnd w:id="49"/>
      <w:bookmarkEnd w:id="65"/>
    </w:p>
    <w:p w14:paraId="24CEC145" w14:textId="0F132F7B" w:rsidR="00873DEC" w:rsidRDefault="001B1526" w:rsidP="00DA238A">
      <w:pPr>
        <w:rPr>
          <w:color w:val="000000" w:themeColor="text1"/>
        </w:rPr>
      </w:pPr>
      <w:r w:rsidRPr="004E104D">
        <w:rPr>
          <w:color w:val="000000" w:themeColor="text1"/>
        </w:rPr>
        <w:t>The environmental compliance capital, O&amp;M, and CCR ARO costs are recovered through the Environmental Compliance Cost Recovery (</w:t>
      </w:r>
      <w:r w:rsidRPr="004E104D">
        <w:rPr>
          <w:rFonts w:hint="cs"/>
          <w:color w:val="000000" w:themeColor="text1"/>
        </w:rPr>
        <w:t>“</w:t>
      </w:r>
      <w:r w:rsidRPr="004E104D">
        <w:rPr>
          <w:color w:val="000000" w:themeColor="text1"/>
        </w:rPr>
        <w:t>ECCR</w:t>
      </w:r>
      <w:r w:rsidRPr="004E104D">
        <w:rPr>
          <w:rFonts w:hint="cs"/>
          <w:color w:val="000000" w:themeColor="text1"/>
        </w:rPr>
        <w:t>”</w:t>
      </w:r>
      <w:r w:rsidRPr="004E104D">
        <w:rPr>
          <w:color w:val="000000" w:themeColor="text1"/>
        </w:rPr>
        <w:t>) tariff, established in the GPSC</w:t>
      </w:r>
      <w:r w:rsidRPr="004E104D">
        <w:rPr>
          <w:rFonts w:hint="cs"/>
          <w:color w:val="000000" w:themeColor="text1"/>
        </w:rPr>
        <w:t>’</w:t>
      </w:r>
      <w:r w:rsidRPr="004E104D">
        <w:rPr>
          <w:color w:val="000000" w:themeColor="text1"/>
        </w:rPr>
        <w:t>s final order in Docket 25060.</w:t>
      </w:r>
    </w:p>
    <w:p w14:paraId="1746D53E" w14:textId="6679D4D4" w:rsidR="004F6463" w:rsidRPr="00E70355" w:rsidRDefault="006C1781" w:rsidP="00DA238A">
      <w:pPr>
        <w:rPr>
          <w:color w:val="000000" w:themeColor="text1"/>
        </w:rPr>
      </w:pPr>
      <w:r>
        <w:rPr>
          <w:color w:val="000000" w:themeColor="text1"/>
        </w:rPr>
        <w:t xml:space="preserve">For capital, </w:t>
      </w:r>
      <w:r w:rsidRPr="004E104D">
        <w:rPr>
          <w:color w:val="000000" w:themeColor="text1"/>
        </w:rPr>
        <w:t>t</w:t>
      </w:r>
      <w:r w:rsidR="004F6463" w:rsidRPr="004E104D">
        <w:rPr>
          <w:color w:val="000000" w:themeColor="text1"/>
        </w:rPr>
        <w:t xml:space="preserve">he </w:t>
      </w:r>
      <w:r w:rsidR="00BB6D17" w:rsidRPr="004E104D">
        <w:rPr>
          <w:color w:val="000000" w:themeColor="text1"/>
        </w:rPr>
        <w:t xml:space="preserve">projected </w:t>
      </w:r>
      <w:r w:rsidR="00522EDF" w:rsidRPr="004E104D">
        <w:rPr>
          <w:color w:val="000000" w:themeColor="text1"/>
        </w:rPr>
        <w:t xml:space="preserve">base level capital expenditures to comply with existing </w:t>
      </w:r>
      <w:r w:rsidR="001B1526" w:rsidRPr="004E104D">
        <w:rPr>
          <w:color w:val="000000" w:themeColor="text1"/>
        </w:rPr>
        <w:t>statutes</w:t>
      </w:r>
      <w:r w:rsidR="00522EDF" w:rsidRPr="004E104D">
        <w:rPr>
          <w:color w:val="000000" w:themeColor="text1"/>
        </w:rPr>
        <w:t xml:space="preserve"> and regulations will be </w:t>
      </w:r>
      <w:r w:rsidR="007C59CB" w:rsidRPr="004E104D">
        <w:rPr>
          <w:color w:val="000000" w:themeColor="text1"/>
        </w:rPr>
        <w:t>a total of approximately $</w:t>
      </w:r>
      <w:r w:rsidR="0010706B" w:rsidRPr="004E104D">
        <w:rPr>
          <w:color w:val="000000" w:themeColor="text1"/>
        </w:rPr>
        <w:t>958</w:t>
      </w:r>
      <w:r w:rsidR="0075667D" w:rsidRPr="004E104D">
        <w:rPr>
          <w:color w:val="000000" w:themeColor="text1"/>
        </w:rPr>
        <w:t xml:space="preserve"> million from 2025 through 2028, with annual totals of approximately $</w:t>
      </w:r>
      <w:r w:rsidR="005D742A" w:rsidRPr="004E104D">
        <w:rPr>
          <w:color w:val="000000" w:themeColor="text1"/>
        </w:rPr>
        <w:t>153</w:t>
      </w:r>
      <w:r w:rsidR="00E83EA7" w:rsidRPr="004E104D">
        <w:rPr>
          <w:color w:val="000000" w:themeColor="text1"/>
        </w:rPr>
        <w:t xml:space="preserve"> million, $</w:t>
      </w:r>
      <w:r w:rsidR="005D742A" w:rsidRPr="004E104D">
        <w:rPr>
          <w:color w:val="000000" w:themeColor="text1"/>
        </w:rPr>
        <w:t>3</w:t>
      </w:r>
      <w:r w:rsidR="004E104D" w:rsidRPr="004E104D">
        <w:rPr>
          <w:color w:val="000000" w:themeColor="text1"/>
        </w:rPr>
        <w:t>59</w:t>
      </w:r>
      <w:r w:rsidR="00E83EA7" w:rsidRPr="004E104D">
        <w:rPr>
          <w:color w:val="000000" w:themeColor="text1"/>
        </w:rPr>
        <w:t xml:space="preserve"> million, $</w:t>
      </w:r>
      <w:r w:rsidR="004E104D" w:rsidRPr="004E104D">
        <w:rPr>
          <w:color w:val="000000" w:themeColor="text1"/>
        </w:rPr>
        <w:t>202</w:t>
      </w:r>
      <w:r w:rsidR="00E83EA7" w:rsidRPr="004E104D">
        <w:rPr>
          <w:color w:val="000000" w:themeColor="text1"/>
        </w:rPr>
        <w:t xml:space="preserve"> million, and </w:t>
      </w:r>
      <w:r w:rsidR="001B1526" w:rsidRPr="004E104D">
        <w:rPr>
          <w:color w:val="000000" w:themeColor="text1"/>
        </w:rPr>
        <w:t>$</w:t>
      </w:r>
      <w:r w:rsidR="004E104D" w:rsidRPr="004E104D">
        <w:rPr>
          <w:color w:val="000000" w:themeColor="text1"/>
        </w:rPr>
        <w:t>244</w:t>
      </w:r>
      <w:r w:rsidR="001B1526" w:rsidRPr="004E104D">
        <w:rPr>
          <w:color w:val="000000" w:themeColor="text1"/>
        </w:rPr>
        <w:t xml:space="preserve"> million for 2025, 2026, 2027, and 2028, respectively.</w:t>
      </w:r>
      <w:r w:rsidR="00FB34F2" w:rsidRPr="004E104D">
        <w:rPr>
          <w:color w:val="000000" w:themeColor="text1"/>
        </w:rPr>
        <w:t xml:space="preserve">  </w:t>
      </w:r>
    </w:p>
    <w:p w14:paraId="6A72D220" w14:textId="4A49933C" w:rsidR="00887BE3" w:rsidRDefault="00887BE3" w:rsidP="00643E99">
      <w:r w:rsidRPr="00462738">
        <w:t>The Company’s compliance strategy, including potential unit retirement and replacement decisions, and future environmental capital expenditures will be affected by the final requirements of any new or revised environmental statutes and regulations that are enacted, including the proposed environmental legislation and regulations described; the cost, availability, and existing inventory of emissions allowances; and the Company’s fuel mix.</w:t>
      </w:r>
      <w:r>
        <w:t xml:space="preserve"> </w:t>
      </w:r>
    </w:p>
    <w:p w14:paraId="50DB302A" w14:textId="0500E7CA" w:rsidR="00E31E38" w:rsidRDefault="00B909B4" w:rsidP="00643E99">
      <w:r>
        <w:t>For CCR ARO, t</w:t>
      </w:r>
      <w:r w:rsidR="00432F9B" w:rsidRPr="6A44F22A">
        <w:t xml:space="preserve">he Company is required to adhere to Accounting Standards Codification (“ASC”) 410-20 (formerly Financial Accounting Standard No. 143 and </w:t>
      </w:r>
      <w:r w:rsidR="00432F9B">
        <w:t>Financial Accounting Standards Board (“</w:t>
      </w:r>
      <w:r w:rsidR="00432F9B" w:rsidRPr="6A44F22A">
        <w:t>FASB</w:t>
      </w:r>
      <w:r w:rsidR="00432F9B">
        <w:t>”)</w:t>
      </w:r>
      <w:r w:rsidR="00432F9B" w:rsidRPr="6A44F22A">
        <w:t xml:space="preserve"> Interpretation No. 47) which requires the Company to record the legal obligation associated with the retirement of a long-lived asset. In accordance with ASC 410-20, the Company </w:t>
      </w:r>
      <w:r w:rsidR="00432F9B" w:rsidRPr="6A44F22A">
        <w:lastRenderedPageBreak/>
        <w:t xml:space="preserve">records the estimated closure and post closure care costs of CCR ash ponds and landfills under the </w:t>
      </w:r>
      <w:r w:rsidR="0051507C">
        <w:t>f</w:t>
      </w:r>
      <w:r w:rsidR="0051507C" w:rsidRPr="6A44F22A">
        <w:t xml:space="preserve">ederal </w:t>
      </w:r>
      <w:r w:rsidR="00432F9B" w:rsidRPr="6A44F22A">
        <w:t xml:space="preserve">and </w:t>
      </w:r>
      <w:r w:rsidR="0051507C">
        <w:t>state</w:t>
      </w:r>
      <w:r w:rsidR="0051507C" w:rsidRPr="6A44F22A">
        <w:t xml:space="preserve"> </w:t>
      </w:r>
      <w:r w:rsidR="00432F9B" w:rsidRPr="6A44F22A">
        <w:t>CCR Rules.</w:t>
      </w:r>
      <w:r w:rsidR="00432F9B" w:rsidRPr="3D2C2AF0">
        <w:t xml:space="preserve"> </w:t>
      </w:r>
      <w:r w:rsidR="00E31E38" w:rsidRPr="00DE4753">
        <w:t>Georgia Power’s current cost estimate applicable to retail customers for the CCR ARO program over the coming decades is approximately $</w:t>
      </w:r>
      <w:r w:rsidR="00011793" w:rsidRPr="00DE4753">
        <w:t>8.0</w:t>
      </w:r>
      <w:r w:rsidR="00E31E38" w:rsidRPr="00DE4753">
        <w:t xml:space="preserve"> billion, including approximately $1.</w:t>
      </w:r>
      <w:r w:rsidR="00513FED" w:rsidRPr="00DE4753">
        <w:t>7</w:t>
      </w:r>
      <w:r w:rsidR="00E13A72" w:rsidRPr="00DE4753">
        <w:t xml:space="preserve"> </w:t>
      </w:r>
      <w:r w:rsidR="00E31E38" w:rsidRPr="00DE4753">
        <w:t>billion in actual costs previously incurred.</w:t>
      </w:r>
    </w:p>
    <w:p w14:paraId="4C6EE58B" w14:textId="02106719" w:rsidR="00BC056F" w:rsidRDefault="00432F9B" w:rsidP="00643E99">
      <w:r w:rsidRPr="005C05E9">
        <w:t xml:space="preserve">The Company will continue providing </w:t>
      </w:r>
      <w:r w:rsidR="00A02082">
        <w:t xml:space="preserve">CCR projects </w:t>
      </w:r>
      <w:r w:rsidRPr="005C05E9">
        <w:t xml:space="preserve">semi-annual progress and cost data updates to the Commission under Docket No. 43083. </w:t>
      </w:r>
      <w:r w:rsidRPr="005C05E9">
        <w:rPr>
          <w:rFonts w:eastAsia="Arial"/>
        </w:rPr>
        <w:t>As outlined in the Company’s CCR ARO Program Semi-Annual Program Status Report, the current forecasted spend for the CCR ARO program is the best estimate Georgia Power has at this time for this long-term compliance program spanning over approximately the next 60 years into the future. The Company’s cost estimates are based on various assumptions related to closure and post-closure costs, timing of future cash outlays, inflation and discount rates, and the methods for complying with closure requirements. Georgia Power will continue to update its cost estimates and ARO liabilities periodically as additional information related to these assumptions becomes available</w:t>
      </w:r>
      <w:r w:rsidR="00091AE2">
        <w:t>.</w:t>
      </w:r>
    </w:p>
    <w:p w14:paraId="6179FC73" w14:textId="77777777" w:rsidR="00BA1AE6" w:rsidRDefault="00BA1AE6" w:rsidP="002D3EF7">
      <w:pPr>
        <w:spacing w:after="0" w:line="240" w:lineRule="auto"/>
      </w:pPr>
    </w:p>
    <w:p w14:paraId="5F621246" w14:textId="02E8330E" w:rsidR="008031DB" w:rsidRPr="003D640E" w:rsidRDefault="008031DB" w:rsidP="002D3EF7">
      <w:pPr>
        <w:spacing w:after="0" w:line="240" w:lineRule="auto"/>
      </w:pPr>
    </w:p>
    <w:p w14:paraId="6CA43A0E" w14:textId="77777777" w:rsidR="00426FF5" w:rsidRDefault="00426FF5" w:rsidP="00F57F8B">
      <w:pPr>
        <w:rPr>
          <w:rFonts w:asciiTheme="majorHAnsi" w:eastAsia="Arial" w:hAnsiTheme="majorHAnsi" w:cstheme="majorBidi"/>
          <w:b/>
          <w:bCs/>
          <w:color w:val="1F3864" w:themeColor="accent1" w:themeShade="80"/>
          <w:sz w:val="32"/>
          <w:szCs w:val="32"/>
        </w:rPr>
      </w:pPr>
      <w:r>
        <w:rPr>
          <w:rFonts w:eastAsia="Arial"/>
          <w:b/>
          <w:bCs/>
          <w:sz w:val="32"/>
          <w:szCs w:val="32"/>
        </w:rPr>
        <w:br w:type="page"/>
      </w:r>
    </w:p>
    <w:p w14:paraId="3D390C40" w14:textId="66D3F67E" w:rsidR="00432F9B" w:rsidRPr="00060673" w:rsidRDefault="00F77C78" w:rsidP="00060673">
      <w:pPr>
        <w:pStyle w:val="Heading1"/>
      </w:pPr>
      <w:bookmarkStart w:id="66" w:name="_Toc188252330"/>
      <w:r w:rsidRPr="00060673">
        <w:lastRenderedPageBreak/>
        <w:t xml:space="preserve">ECS - </w:t>
      </w:r>
      <w:r w:rsidR="00714684" w:rsidRPr="00060673">
        <w:t xml:space="preserve">Appendix </w:t>
      </w:r>
      <w:r w:rsidRPr="00060673">
        <w:t xml:space="preserve">A </w:t>
      </w:r>
      <w:r w:rsidR="00714684" w:rsidRPr="00060673">
        <w:t xml:space="preserve">– </w:t>
      </w:r>
      <w:r w:rsidR="00162015" w:rsidRPr="00060673">
        <w:t>Monitored Regulations</w:t>
      </w:r>
      <w:bookmarkEnd w:id="66"/>
    </w:p>
    <w:p w14:paraId="5C4F53A1" w14:textId="17146192" w:rsidR="0081302B" w:rsidRPr="0081302B" w:rsidRDefault="0081302B" w:rsidP="00DA238A">
      <w:r w:rsidRPr="00060673">
        <w:rPr>
          <w:rStyle w:val="normaltextrun"/>
          <w:rFonts w:cs="Calibri"/>
          <w:color w:val="000000"/>
          <w:bdr w:val="none" w:sz="0" w:space="0" w:color="auto" w:frame="1"/>
        </w:rPr>
        <w:t xml:space="preserve">In addition to the </w:t>
      </w:r>
      <w:r w:rsidR="00752AD7" w:rsidRPr="00060673">
        <w:rPr>
          <w:rStyle w:val="normaltextrun"/>
          <w:rFonts w:cs="Calibri"/>
          <w:color w:val="000000"/>
          <w:bdr w:val="none" w:sz="0" w:space="0" w:color="auto" w:frame="1"/>
        </w:rPr>
        <w:t xml:space="preserve">environmental legislation, regulation, policy, and permitting discussed in the ECS, the Company continues to monitor various environmental compliance topics </w:t>
      </w:r>
      <w:r w:rsidR="007350C4" w:rsidRPr="00060673">
        <w:rPr>
          <w:rStyle w:val="normaltextrun"/>
          <w:rFonts w:cs="Calibri"/>
          <w:color w:val="000000"/>
          <w:bdr w:val="none" w:sz="0" w:space="0" w:color="auto" w:frame="1"/>
        </w:rPr>
        <w:t xml:space="preserve">for </w:t>
      </w:r>
      <w:r w:rsidR="00217559" w:rsidRPr="00060673">
        <w:rPr>
          <w:rStyle w:val="normaltextrun"/>
          <w:rFonts w:cs="Calibri"/>
          <w:color w:val="000000"/>
          <w:bdr w:val="none" w:sz="0" w:space="0" w:color="auto" w:frame="1"/>
        </w:rPr>
        <w:t xml:space="preserve">any impacts to </w:t>
      </w:r>
      <w:r w:rsidR="007350C4" w:rsidRPr="00060673">
        <w:rPr>
          <w:rStyle w:val="normaltextrun"/>
          <w:rFonts w:cs="Calibri"/>
          <w:color w:val="000000"/>
          <w:bdr w:val="none" w:sz="0" w:space="0" w:color="auto" w:frame="1"/>
        </w:rPr>
        <w:t xml:space="preserve">the compliance strategy. </w:t>
      </w:r>
      <w:r w:rsidR="003F3E50" w:rsidRPr="00060673">
        <w:rPr>
          <w:rStyle w:val="normaltextrun"/>
          <w:rFonts w:cs="Calibri"/>
          <w:color w:val="000000"/>
          <w:bdr w:val="none" w:sz="0" w:space="0" w:color="auto" w:frame="1"/>
        </w:rPr>
        <w:t xml:space="preserve">Examples of </w:t>
      </w:r>
      <w:r w:rsidR="007350C4" w:rsidRPr="00060673">
        <w:rPr>
          <w:rStyle w:val="normaltextrun"/>
          <w:rFonts w:cs="Calibri"/>
          <w:color w:val="000000"/>
          <w:bdr w:val="none" w:sz="0" w:space="0" w:color="auto" w:frame="1"/>
        </w:rPr>
        <w:t>monitored regulations are listed below:</w:t>
      </w:r>
    </w:p>
    <w:p w14:paraId="047F5394" w14:textId="48320149" w:rsidR="00460DA9" w:rsidRDefault="00460DA9" w:rsidP="00060673">
      <w:pPr>
        <w:pStyle w:val="Heading3noTOC"/>
      </w:pPr>
      <w:r>
        <w:t>CAA – Industrial Boiler MACT</w:t>
      </w:r>
    </w:p>
    <w:p w14:paraId="55DFCD64" w14:textId="7B265289" w:rsidR="00E03C15" w:rsidRPr="00060673" w:rsidRDefault="00E03C15" w:rsidP="00060673">
      <w:pPr>
        <w:rPr>
          <w:rStyle w:val="normaltextrun"/>
          <w:rFonts w:cs="Calibri"/>
          <w:color w:val="000000"/>
          <w:bdr w:val="none" w:sz="0" w:space="0" w:color="auto" w:frame="1"/>
        </w:rPr>
      </w:pPr>
      <w:r w:rsidRPr="00060673">
        <w:rPr>
          <w:rStyle w:val="normaltextrun"/>
          <w:rFonts w:cs="Calibri"/>
          <w:color w:val="000000"/>
          <w:bdr w:val="none" w:sz="0" w:space="0" w:color="auto" w:frame="1"/>
        </w:rPr>
        <w:t>In October 2022, EPA finalized amendments to the Industrial Boiler MACT rule</w:t>
      </w:r>
      <w:r w:rsidR="00343578" w:rsidRPr="00060673">
        <w:rPr>
          <w:rStyle w:val="normaltextrun"/>
          <w:rFonts w:cs="Calibri"/>
          <w:color w:val="000000"/>
          <w:bdr w:val="none" w:sz="0" w:space="0" w:color="auto" w:frame="1"/>
        </w:rPr>
        <w:t xml:space="preserve"> in response to a remand of certain requirements by the D.C. Circuit Court</w:t>
      </w:r>
      <w:r w:rsidRPr="00060673">
        <w:rPr>
          <w:rStyle w:val="normaltextrun"/>
          <w:rFonts w:cs="Calibri"/>
          <w:color w:val="000000"/>
          <w:bdr w:val="none" w:sz="0" w:space="0" w:color="auto" w:frame="1"/>
        </w:rPr>
        <w:t xml:space="preserve">. </w:t>
      </w:r>
      <w:r w:rsidR="00E5466A" w:rsidRPr="00060673">
        <w:rPr>
          <w:rStyle w:val="normaltextrun"/>
          <w:rFonts w:cs="Calibri"/>
          <w:color w:val="000000"/>
          <w:bdr w:val="none" w:sz="0" w:space="0" w:color="auto" w:frame="1"/>
        </w:rPr>
        <w:t>The changes did not affect any Company generating units</w:t>
      </w:r>
      <w:r w:rsidR="004D4101" w:rsidRPr="00060673">
        <w:rPr>
          <w:rStyle w:val="normaltextrun"/>
          <w:rFonts w:cs="Calibri"/>
          <w:color w:val="000000"/>
          <w:bdr w:val="none" w:sz="0" w:space="0" w:color="auto" w:frame="1"/>
        </w:rPr>
        <w:t>,</w:t>
      </w:r>
      <w:r w:rsidR="00E5466A" w:rsidRPr="00060673">
        <w:rPr>
          <w:rStyle w:val="normaltextrun"/>
          <w:rFonts w:cs="Calibri"/>
          <w:color w:val="000000"/>
          <w:bdr w:val="none" w:sz="0" w:space="0" w:color="auto" w:frame="1"/>
        </w:rPr>
        <w:t xml:space="preserve"> and no changes to the ECS are required. </w:t>
      </w:r>
    </w:p>
    <w:p w14:paraId="171F7E74" w14:textId="67307AFF" w:rsidR="00460DA9" w:rsidRDefault="00460DA9" w:rsidP="00060673">
      <w:pPr>
        <w:pStyle w:val="Heading3noTOC"/>
      </w:pPr>
      <w:r>
        <w:t>CAA – Reciprocating Internal Combustion Engines MACT</w:t>
      </w:r>
    </w:p>
    <w:p w14:paraId="6681103D" w14:textId="576A9EBE" w:rsidR="00E5466A" w:rsidRPr="00060673" w:rsidRDefault="124318A5" w:rsidP="00060673">
      <w:pPr>
        <w:rPr>
          <w:rFonts w:eastAsia="Helvetica" w:cs="Helvetica"/>
          <w:sz w:val="19"/>
          <w:szCs w:val="19"/>
          <w:bdr w:val="none" w:sz="0" w:space="0" w:color="auto" w:frame="1"/>
        </w:rPr>
      </w:pPr>
      <w:r w:rsidRPr="00060673">
        <w:rPr>
          <w:rStyle w:val="normaltextrun"/>
          <w:rFonts w:cs="Calibri"/>
          <w:color w:val="000000"/>
          <w:bdr w:val="none" w:sz="0" w:space="0" w:color="auto" w:frame="1"/>
        </w:rPr>
        <w:t xml:space="preserve">On August 30th, 2024, EPA published its final rule to amend the </w:t>
      </w:r>
      <w:r w:rsidR="004D4101" w:rsidRPr="00060673">
        <w:rPr>
          <w:rStyle w:val="normaltextrun"/>
          <w:rFonts w:cs="Calibri"/>
          <w:color w:val="000000"/>
          <w:bdr w:val="none" w:sz="0" w:space="0" w:color="auto" w:frame="1"/>
        </w:rPr>
        <w:t>NESHAP</w:t>
      </w:r>
      <w:r w:rsidRPr="00060673">
        <w:rPr>
          <w:rStyle w:val="normaltextrun"/>
          <w:rFonts w:cs="Calibri"/>
          <w:color w:val="000000"/>
          <w:bdr w:val="none" w:sz="0" w:space="0" w:color="auto" w:frame="1"/>
        </w:rPr>
        <w:t xml:space="preserve"> for Reciprocating Internal Combustion Engines (</w:t>
      </w:r>
      <w:r w:rsidR="004D4101" w:rsidRPr="00060673">
        <w:rPr>
          <w:rStyle w:val="normaltextrun"/>
          <w:rFonts w:cs="Calibri"/>
          <w:color w:val="000000" w:themeColor="text1"/>
        </w:rPr>
        <w:t>“</w:t>
      </w:r>
      <w:r w:rsidRPr="00060673">
        <w:rPr>
          <w:rStyle w:val="normaltextrun"/>
          <w:rFonts w:cs="Calibri"/>
          <w:color w:val="000000"/>
          <w:bdr w:val="none" w:sz="0" w:space="0" w:color="auto" w:frame="1"/>
        </w:rPr>
        <w:t>RICE</w:t>
      </w:r>
      <w:r w:rsidR="004D4101" w:rsidRPr="00060673">
        <w:rPr>
          <w:rStyle w:val="normaltextrun"/>
          <w:rFonts w:cs="Calibri"/>
          <w:color w:val="000000"/>
          <w:bdr w:val="none" w:sz="0" w:space="0" w:color="auto" w:frame="1"/>
        </w:rPr>
        <w:t>”</w:t>
      </w:r>
      <w:r w:rsidR="341F0FB4" w:rsidRPr="00060673">
        <w:rPr>
          <w:rStyle w:val="normaltextrun"/>
          <w:rFonts w:cs="Calibri"/>
          <w:color w:val="000000"/>
          <w:bdr w:val="none" w:sz="0" w:space="0" w:color="auto" w:frame="1"/>
        </w:rPr>
        <w:t>)</w:t>
      </w:r>
      <w:r w:rsidR="00091904" w:rsidRPr="00060673">
        <w:rPr>
          <w:rStyle w:val="normaltextrun"/>
          <w:rFonts w:cs="Calibri"/>
          <w:color w:val="000000"/>
          <w:bdr w:val="none" w:sz="0" w:space="0" w:color="auto" w:frame="1"/>
        </w:rPr>
        <w:t>,</w:t>
      </w:r>
      <w:r w:rsidR="341F0FB4" w:rsidRPr="00060673">
        <w:rPr>
          <w:rStyle w:val="normaltextrun"/>
          <w:rFonts w:cs="Calibri"/>
          <w:color w:val="000000"/>
          <w:bdr w:val="none" w:sz="0" w:space="0" w:color="auto" w:frame="1"/>
        </w:rPr>
        <w:t xml:space="preserve"> the New Source Performance Standards for Stationary Compression Ignition Internal Combustion Engines (</w:t>
      </w:r>
      <w:r w:rsidR="00091904" w:rsidRPr="00060673">
        <w:rPr>
          <w:rStyle w:val="normaltextrun"/>
          <w:rFonts w:cs="Calibri"/>
          <w:color w:val="000000" w:themeColor="text1"/>
        </w:rPr>
        <w:t>“</w:t>
      </w:r>
      <w:r w:rsidR="341F0FB4" w:rsidRPr="00060673">
        <w:rPr>
          <w:rStyle w:val="normaltextrun"/>
          <w:rFonts w:cs="Calibri"/>
          <w:color w:val="000000"/>
          <w:bdr w:val="none" w:sz="0" w:space="0" w:color="auto" w:frame="1"/>
        </w:rPr>
        <w:t>CI ICE NSPS</w:t>
      </w:r>
      <w:r w:rsidR="00091904" w:rsidRPr="00060673">
        <w:rPr>
          <w:rStyle w:val="normaltextrun"/>
          <w:rFonts w:cs="Calibri"/>
          <w:color w:val="000000" w:themeColor="text1"/>
        </w:rPr>
        <w:t>”</w:t>
      </w:r>
      <w:r w:rsidR="341F0FB4" w:rsidRPr="00060673">
        <w:rPr>
          <w:rStyle w:val="normaltextrun"/>
          <w:rFonts w:cs="Calibri"/>
          <w:color w:val="000000"/>
          <w:bdr w:val="none" w:sz="0" w:space="0" w:color="auto" w:frame="1"/>
        </w:rPr>
        <w:t>), and the NSPS for Stationary Spark Ignition Internal Combustion Engines (</w:t>
      </w:r>
      <w:r w:rsidR="00091904" w:rsidRPr="00060673">
        <w:rPr>
          <w:rStyle w:val="normaltextrun"/>
          <w:rFonts w:cs="Calibri"/>
          <w:color w:val="000000" w:themeColor="text1"/>
        </w:rPr>
        <w:t>“</w:t>
      </w:r>
      <w:r w:rsidR="341F0FB4" w:rsidRPr="00060673">
        <w:rPr>
          <w:rStyle w:val="normaltextrun"/>
          <w:rFonts w:cs="Calibri"/>
          <w:color w:val="000000"/>
          <w:bdr w:val="none" w:sz="0" w:space="0" w:color="auto" w:frame="1"/>
        </w:rPr>
        <w:t>SI ICE NSPS</w:t>
      </w:r>
      <w:r w:rsidR="00091904" w:rsidRPr="00060673">
        <w:rPr>
          <w:rStyle w:val="normaltextrun"/>
          <w:rFonts w:cs="Calibri"/>
          <w:color w:val="000000" w:themeColor="text1"/>
        </w:rPr>
        <w:t>”</w:t>
      </w:r>
      <w:r w:rsidR="341F0FB4" w:rsidRPr="00060673">
        <w:rPr>
          <w:rStyle w:val="normaltextrun"/>
          <w:rFonts w:cs="Calibri"/>
          <w:color w:val="000000"/>
          <w:bdr w:val="none" w:sz="0" w:space="0" w:color="auto" w:frame="1"/>
        </w:rPr>
        <w:t>).</w:t>
      </w:r>
      <w:r w:rsidR="00B6080A" w:rsidRPr="00060673">
        <w:rPr>
          <w:rStyle w:val="normaltextrun"/>
          <w:rFonts w:cs="Calibri"/>
          <w:color w:val="000000"/>
          <w:bdr w:val="none" w:sz="0" w:space="0" w:color="auto" w:frame="1"/>
        </w:rPr>
        <w:t xml:space="preserve"> </w:t>
      </w:r>
      <w:r w:rsidR="341F0FB4" w:rsidRPr="00060673">
        <w:rPr>
          <w:rStyle w:val="normaltextrun"/>
          <w:rFonts w:cs="Calibri"/>
          <w:color w:val="000000"/>
          <w:bdr w:val="none" w:sz="0" w:space="0" w:color="auto" w:frame="1"/>
        </w:rPr>
        <w:t>The Final Rule requires electronic reporting and makes various other revisions to the rules.</w:t>
      </w:r>
    </w:p>
    <w:p w14:paraId="1BDF089E" w14:textId="03672864" w:rsidR="00CC7EE1" w:rsidRDefault="00CC7EE1" w:rsidP="00060673">
      <w:pPr>
        <w:pStyle w:val="Heading3noTOC"/>
      </w:pPr>
      <w:r>
        <w:t xml:space="preserve">CAA – New Source Performance Standards </w:t>
      </w:r>
    </w:p>
    <w:p w14:paraId="3CF708CB" w14:textId="7023DCFA" w:rsidR="00B963A2" w:rsidRPr="00060673" w:rsidRDefault="00B963A2" w:rsidP="00643E99">
      <w:pPr>
        <w:rPr>
          <w:rStyle w:val="normaltextrun"/>
          <w:rFonts w:cs="Calibri"/>
          <w:color w:val="000000"/>
          <w:bdr w:val="none" w:sz="0" w:space="0" w:color="auto" w:frame="1"/>
        </w:rPr>
      </w:pPr>
      <w:r w:rsidRPr="00060673">
        <w:rPr>
          <w:rStyle w:val="normaltextrun"/>
          <w:rFonts w:cs="Calibri"/>
          <w:color w:val="000000"/>
          <w:bdr w:val="none" w:sz="0" w:space="0" w:color="auto" w:frame="1"/>
        </w:rPr>
        <w:t>In September 2022, a coalition of 17 environmental groups submitted a petition for rulemaking to EPA to eliminate startup, shutdown, malfunction and/or maintenance exemptions under the NSPS.</w:t>
      </w:r>
      <w:r w:rsidR="00953563" w:rsidRPr="00060673">
        <w:rPr>
          <w:rStyle w:val="normaltextrun"/>
          <w:rFonts w:cs="Calibri"/>
          <w:color w:val="000000"/>
          <w:bdr w:val="none" w:sz="0" w:space="0" w:color="auto" w:frame="1"/>
        </w:rPr>
        <w:t xml:space="preserve"> </w:t>
      </w:r>
    </w:p>
    <w:p w14:paraId="702E6F5C" w14:textId="11900DC1" w:rsidR="004B745F" w:rsidRPr="00060673" w:rsidRDefault="004B745F" w:rsidP="00643E99">
      <w:pPr>
        <w:rPr>
          <w:rStyle w:val="normaltextrun"/>
          <w:rFonts w:cs="Calibri"/>
          <w:color w:val="000000"/>
          <w:bdr w:val="none" w:sz="0" w:space="0" w:color="auto" w:frame="1"/>
        </w:rPr>
      </w:pPr>
      <w:r w:rsidRPr="00060673">
        <w:rPr>
          <w:rStyle w:val="normaltextrun"/>
          <w:rFonts w:cs="Calibri"/>
          <w:color w:val="000000"/>
          <w:bdr w:val="none" w:sz="0" w:space="0" w:color="auto" w:frame="1"/>
        </w:rPr>
        <w:t xml:space="preserve">On </w:t>
      </w:r>
      <w:r w:rsidR="00214BD3">
        <w:rPr>
          <w:rStyle w:val="normaltextrun"/>
          <w:rFonts w:cs="Calibri"/>
          <w:color w:val="000000"/>
          <w:bdr w:val="none" w:sz="0" w:space="0" w:color="auto" w:frame="1"/>
        </w:rPr>
        <w:t>December 13</w:t>
      </w:r>
      <w:r w:rsidRPr="00060673">
        <w:rPr>
          <w:rStyle w:val="normaltextrun"/>
          <w:rFonts w:cs="Calibri"/>
          <w:color w:val="000000"/>
          <w:bdr w:val="none" w:sz="0" w:space="0" w:color="auto" w:frame="1"/>
        </w:rPr>
        <w:t xml:space="preserve">, 2024, EPA </w:t>
      </w:r>
      <w:r w:rsidR="00D97520">
        <w:rPr>
          <w:rStyle w:val="normaltextrun"/>
          <w:rFonts w:cs="Calibri"/>
          <w:color w:val="000000"/>
          <w:bdr w:val="none" w:sz="0" w:space="0" w:color="auto" w:frame="1"/>
        </w:rPr>
        <w:t>proposed the</w:t>
      </w:r>
      <w:r w:rsidRPr="00060673">
        <w:rPr>
          <w:rStyle w:val="normaltextrun"/>
          <w:rFonts w:cs="Calibri"/>
          <w:color w:val="000000"/>
          <w:bdr w:val="none" w:sz="0" w:space="0" w:color="auto" w:frame="1"/>
        </w:rPr>
        <w:t xml:space="preserve"> </w:t>
      </w:r>
      <w:r w:rsidR="00863C4D" w:rsidRPr="00060673">
        <w:rPr>
          <w:rStyle w:val="normaltextrun"/>
          <w:rFonts w:cs="Calibri"/>
          <w:color w:val="000000"/>
          <w:bdr w:val="none" w:sz="0" w:space="0" w:color="auto" w:frame="1"/>
        </w:rPr>
        <w:t xml:space="preserve">review of </w:t>
      </w:r>
      <w:r w:rsidRPr="00060673">
        <w:rPr>
          <w:rStyle w:val="normaltextrun"/>
          <w:rFonts w:cs="Calibri"/>
          <w:color w:val="000000"/>
          <w:bdr w:val="none" w:sz="0" w:space="0" w:color="auto" w:frame="1"/>
        </w:rPr>
        <w:t>Standards of Performance for Station</w:t>
      </w:r>
      <w:r w:rsidR="000E09AD" w:rsidRPr="00060673">
        <w:rPr>
          <w:rStyle w:val="normaltextrun"/>
          <w:rFonts w:cs="Calibri"/>
          <w:color w:val="000000"/>
          <w:bdr w:val="none" w:sz="0" w:space="0" w:color="auto" w:frame="1"/>
        </w:rPr>
        <w:t>ary Combustion Turbines</w:t>
      </w:r>
      <w:r w:rsidR="00024528" w:rsidRPr="00060673">
        <w:rPr>
          <w:rStyle w:val="normaltextrun"/>
          <w:rFonts w:cs="Calibri"/>
          <w:color w:val="000000"/>
          <w:bdr w:val="none" w:sz="0" w:space="0" w:color="auto" w:frame="1"/>
        </w:rPr>
        <w:t xml:space="preserve">, which will apply to CTs </w:t>
      </w:r>
      <w:r w:rsidR="00946A60" w:rsidRPr="00060673">
        <w:rPr>
          <w:rStyle w:val="normaltextrun"/>
          <w:rFonts w:cs="Calibri"/>
          <w:color w:val="000000"/>
          <w:bdr w:val="none" w:sz="0" w:space="0" w:color="auto" w:frame="1"/>
        </w:rPr>
        <w:t>that begin construction, modification, or reconstruction after the date of publication of the proposed rule in the Federal Register. The proposed rule s</w:t>
      </w:r>
      <w:r w:rsidR="00E11555" w:rsidRPr="00060673">
        <w:rPr>
          <w:rStyle w:val="normaltextrun"/>
          <w:rFonts w:cs="Calibri"/>
          <w:color w:val="000000"/>
          <w:bdr w:val="none" w:sz="0" w:space="0" w:color="auto" w:frame="1"/>
        </w:rPr>
        <w:t>ubcategorizes CTs based</w:t>
      </w:r>
      <w:r w:rsidR="00946A60" w:rsidRPr="00060673">
        <w:rPr>
          <w:rStyle w:val="normaltextrun"/>
          <w:rFonts w:cs="Calibri"/>
          <w:color w:val="000000"/>
          <w:bdr w:val="none" w:sz="0" w:space="0" w:color="auto" w:frame="1"/>
        </w:rPr>
        <w:t xml:space="preserve"> on size and capacity factor</w:t>
      </w:r>
      <w:r w:rsidR="003E28EB" w:rsidRPr="00060673">
        <w:rPr>
          <w:rStyle w:val="normaltextrun"/>
          <w:rFonts w:cs="Calibri"/>
          <w:color w:val="000000"/>
          <w:bdr w:val="none" w:sz="0" w:space="0" w:color="auto" w:frame="1"/>
        </w:rPr>
        <w:t xml:space="preserve">. </w:t>
      </w:r>
      <w:r w:rsidR="00557551" w:rsidRPr="00060673">
        <w:rPr>
          <w:rStyle w:val="normaltextrun"/>
          <w:rFonts w:cs="Calibri"/>
          <w:color w:val="000000"/>
          <w:bdr w:val="none" w:sz="0" w:space="0" w:color="auto" w:frame="1"/>
        </w:rPr>
        <w:t xml:space="preserve">Depending on the subcategory, EPA has proposed combustion controls or installation of SCR. </w:t>
      </w:r>
      <w:r w:rsidR="00A5165E" w:rsidRPr="00060673">
        <w:rPr>
          <w:rStyle w:val="normaltextrun"/>
          <w:rFonts w:cs="Calibri"/>
          <w:color w:val="000000"/>
          <w:bdr w:val="none" w:sz="0" w:space="0" w:color="auto" w:frame="1"/>
        </w:rPr>
        <w:t>EPA is under a Consent Decree to promulgate a final rule by November 2025.</w:t>
      </w:r>
      <w:r w:rsidR="000E09AD" w:rsidRPr="00060673" w:rsidDel="00024528">
        <w:rPr>
          <w:rStyle w:val="normaltextrun"/>
          <w:rFonts w:cs="Calibri"/>
          <w:color w:val="000000"/>
          <w:bdr w:val="none" w:sz="0" w:space="0" w:color="auto" w:frame="1"/>
        </w:rPr>
        <w:t xml:space="preserve"> </w:t>
      </w:r>
      <w:r w:rsidR="00C4554E" w:rsidRPr="00060673">
        <w:rPr>
          <w:rStyle w:val="normaltextrun"/>
          <w:rFonts w:cs="Calibri"/>
          <w:color w:val="000000"/>
          <w:bdr w:val="none" w:sz="0" w:space="0" w:color="auto" w:frame="1"/>
        </w:rPr>
        <w:t xml:space="preserve">The Company will continue to monitor this rulemaking and </w:t>
      </w:r>
      <w:r w:rsidR="00431EC4" w:rsidRPr="00060673">
        <w:rPr>
          <w:rStyle w:val="normaltextrun"/>
          <w:rFonts w:cs="Calibri"/>
          <w:color w:val="000000"/>
          <w:bdr w:val="none" w:sz="0" w:space="0" w:color="auto" w:frame="1"/>
        </w:rPr>
        <w:t>adjust the compliance strategy for CTs that may become subject to this regulation in the future.</w:t>
      </w:r>
    </w:p>
    <w:p w14:paraId="70478FA7" w14:textId="1D4CAB85" w:rsidR="00F567E5" w:rsidRDefault="00CF184A" w:rsidP="00060673">
      <w:pPr>
        <w:pStyle w:val="Heading3noTOC"/>
      </w:pPr>
      <w:r>
        <w:t xml:space="preserve">CAA </w:t>
      </w:r>
      <w:r w:rsidR="00460DA9">
        <w:t xml:space="preserve">– </w:t>
      </w:r>
      <w:r w:rsidR="00F567E5">
        <w:t>Other NAAQS (40 CFR 50)</w:t>
      </w:r>
    </w:p>
    <w:p w14:paraId="2BA4FAEA" w14:textId="77777777" w:rsidR="00B244CF" w:rsidRPr="00060673" w:rsidRDefault="00CF184A" w:rsidP="00643E99">
      <w:r>
        <w:t xml:space="preserve">In addition to ozone and particulate matter, </w:t>
      </w:r>
      <w:r w:rsidR="00F567E5">
        <w:t>EPA also sets NAAQS for SO</w:t>
      </w:r>
      <w:r w:rsidR="00F567E5" w:rsidRPr="005A6E3B">
        <w:rPr>
          <w:vertAlign w:val="subscript"/>
        </w:rPr>
        <w:t>2</w:t>
      </w:r>
      <w:r w:rsidR="00F567E5">
        <w:t>, NO</w:t>
      </w:r>
      <w:r w:rsidR="00F567E5" w:rsidRPr="005A6E3B">
        <w:rPr>
          <w:vertAlign w:val="subscript"/>
        </w:rPr>
        <w:t>2</w:t>
      </w:r>
      <w:r w:rsidR="00F567E5">
        <w:t xml:space="preserve">, lead, and carbon monoxide. However, the most recent revisions to any of these standards occurred in 2010 or earlier and subsequent reviews completed by EPA resulted in no changes. Implementation of </w:t>
      </w:r>
      <w:r w:rsidR="00343578">
        <w:t xml:space="preserve">current </w:t>
      </w:r>
      <w:r w:rsidR="00F567E5">
        <w:t>standards is complete with no areas in Georgia or Alabama designated as nonattainment.</w:t>
      </w:r>
    </w:p>
    <w:p w14:paraId="5890B325" w14:textId="2439F095" w:rsidR="00CF184A" w:rsidRDefault="00B07D8A" w:rsidP="00643E99">
      <w:r w:rsidRPr="00060673">
        <w:t xml:space="preserve">EPA </w:t>
      </w:r>
      <w:r w:rsidR="00104BFB">
        <w:t xml:space="preserve">is under a consent decree schedule </w:t>
      </w:r>
      <w:r w:rsidR="00EF4F83">
        <w:t xml:space="preserve">to </w:t>
      </w:r>
      <w:r w:rsidR="00A81592" w:rsidRPr="00060673">
        <w:t xml:space="preserve">review and publish revisions to the </w:t>
      </w:r>
      <w:r w:rsidR="00EF4F83" w:rsidRPr="00060673">
        <w:t xml:space="preserve">secondary NAAQS for </w:t>
      </w:r>
      <w:r w:rsidR="00EF4F83">
        <w:t>NO</w:t>
      </w:r>
      <w:r w:rsidR="00DA4101" w:rsidRPr="005A6E3B">
        <w:rPr>
          <w:vertAlign w:val="subscript"/>
        </w:rPr>
        <w:t>2</w:t>
      </w:r>
      <w:r w:rsidR="00EF4F83">
        <w:t xml:space="preserve"> and S</w:t>
      </w:r>
      <w:r w:rsidR="00DA4101">
        <w:t>O</w:t>
      </w:r>
      <w:r w:rsidR="00DA4101" w:rsidRPr="005A6E3B">
        <w:rPr>
          <w:vertAlign w:val="subscript"/>
        </w:rPr>
        <w:t>2</w:t>
      </w:r>
      <w:r w:rsidR="00EF4F83">
        <w:t>, as well as the secondary NAAQS for ecological effects for PM</w:t>
      </w:r>
      <w:r w:rsidR="00A81592" w:rsidRPr="00060673">
        <w:t xml:space="preserve">. </w:t>
      </w:r>
      <w:r w:rsidR="00672AED" w:rsidRPr="00060673">
        <w:t xml:space="preserve">On December </w:t>
      </w:r>
      <w:r w:rsidR="002A4AE1">
        <w:t>27</w:t>
      </w:r>
      <w:r w:rsidR="00672AED" w:rsidRPr="00060673">
        <w:t xml:space="preserve">, 2024, EPA </w:t>
      </w:r>
      <w:r w:rsidR="00067909">
        <w:t>promulgated a</w:t>
      </w:r>
      <w:r w:rsidR="00A27E3C" w:rsidRPr="00060673">
        <w:t xml:space="preserve"> </w:t>
      </w:r>
      <w:r w:rsidR="00EF4F83">
        <w:t xml:space="preserve">final rule </w:t>
      </w:r>
      <w:r w:rsidR="00A27E3C" w:rsidRPr="00060673">
        <w:t>address</w:t>
      </w:r>
      <w:r w:rsidR="00606055" w:rsidRPr="00060673">
        <w:t>ing</w:t>
      </w:r>
      <w:r w:rsidR="00A27E3C" w:rsidRPr="00060673">
        <w:t xml:space="preserve"> these standards. </w:t>
      </w:r>
      <w:r w:rsidR="00B22A25" w:rsidRPr="00060673">
        <w:t>The final rule lowers the SO</w:t>
      </w:r>
      <w:r w:rsidR="00B22A25" w:rsidRPr="00060673">
        <w:rPr>
          <w:vertAlign w:val="subscript"/>
        </w:rPr>
        <w:t>2</w:t>
      </w:r>
      <w:r w:rsidR="00B22A25" w:rsidRPr="00060673">
        <w:t xml:space="preserve"> secondary standard to </w:t>
      </w:r>
      <w:r w:rsidR="00EF4F83">
        <w:t>10</w:t>
      </w:r>
      <w:r w:rsidR="00B22A25" w:rsidRPr="00060673">
        <w:t xml:space="preserve"> ppb</w:t>
      </w:r>
      <w:r w:rsidR="00A27E3C" w:rsidRPr="00060673">
        <w:t xml:space="preserve"> </w:t>
      </w:r>
      <w:r w:rsidR="00B4080C" w:rsidRPr="00060673">
        <w:t>averaged over a three</w:t>
      </w:r>
      <w:r w:rsidR="00664FB2" w:rsidRPr="00060673">
        <w:t>-</w:t>
      </w:r>
      <w:r w:rsidR="00B4080C" w:rsidRPr="00060673">
        <w:t>year period. The existing secondary standards for NO</w:t>
      </w:r>
      <w:r w:rsidR="00B4080C">
        <w:t>x</w:t>
      </w:r>
      <w:r w:rsidR="00B4080C" w:rsidRPr="00060673">
        <w:t xml:space="preserve"> and PM </w:t>
      </w:r>
      <w:r w:rsidR="00E37BD7" w:rsidRPr="00060673">
        <w:t xml:space="preserve">are retained in this rulemaking. </w:t>
      </w:r>
      <w:r w:rsidR="00196B10" w:rsidRPr="00060673">
        <w:t>L</w:t>
      </w:r>
      <w:r w:rsidR="00BA0EF9" w:rsidRPr="00060673">
        <w:t>owering of the SO</w:t>
      </w:r>
      <w:r w:rsidR="00BA0EF9" w:rsidRPr="00060673">
        <w:rPr>
          <w:vertAlign w:val="subscript"/>
        </w:rPr>
        <w:t>2</w:t>
      </w:r>
      <w:r w:rsidR="00BA0EF9" w:rsidRPr="00060673">
        <w:t xml:space="preserve"> secondary NAAQS </w:t>
      </w:r>
      <w:r w:rsidR="00196B10" w:rsidRPr="00060673">
        <w:t xml:space="preserve">is not expected </w:t>
      </w:r>
      <w:r w:rsidR="00BA0EF9" w:rsidRPr="00060673">
        <w:t>to</w:t>
      </w:r>
      <w:r w:rsidR="001A2057" w:rsidRPr="00060673">
        <w:t xml:space="preserve"> </w:t>
      </w:r>
      <w:r w:rsidR="0032772D" w:rsidRPr="00060673">
        <w:t>affect</w:t>
      </w:r>
      <w:r w:rsidR="00B4080C" w:rsidRPr="00060673">
        <w:t xml:space="preserve"> </w:t>
      </w:r>
      <w:r w:rsidR="00196B10" w:rsidRPr="00060673">
        <w:t>the Company’s compliance strategy</w:t>
      </w:r>
      <w:r w:rsidR="00EF4F83">
        <w:t xml:space="preserve">. </w:t>
      </w:r>
    </w:p>
    <w:p w14:paraId="1BFF2AA2" w14:textId="77777777" w:rsidR="00504B58" w:rsidRDefault="000C380D" w:rsidP="00060673">
      <w:pPr>
        <w:pStyle w:val="Heading3noTOC"/>
      </w:pPr>
      <w:r>
        <w:lastRenderedPageBreak/>
        <w:t>CAA – RMP</w:t>
      </w:r>
    </w:p>
    <w:p w14:paraId="4E209B54" w14:textId="47B6B81E" w:rsidR="000C380D" w:rsidRPr="00504B58" w:rsidRDefault="00C0633F" w:rsidP="00DA238A">
      <w:r w:rsidRPr="00504B58">
        <w:t>EPA finalize</w:t>
      </w:r>
      <w:r w:rsidR="004D3D0B">
        <w:t>d</w:t>
      </w:r>
      <w:r w:rsidRPr="00504B58">
        <w:t xml:space="preserve"> revisions in 202</w:t>
      </w:r>
      <w:r w:rsidR="0004128E">
        <w:t>4</w:t>
      </w:r>
      <w:r w:rsidRPr="00504B58">
        <w:t xml:space="preserve"> to the Risk Management Program (“RMP”) requirements for highly hazardous chemicals, reversing </w:t>
      </w:r>
      <w:r w:rsidR="00BD1777" w:rsidRPr="00504B58">
        <w:t>actions taken with a 2019 RMP reconsideration rule</w:t>
      </w:r>
      <w:r w:rsidRPr="00504B58">
        <w:t xml:space="preserve">. </w:t>
      </w:r>
    </w:p>
    <w:p w14:paraId="74FA6CA8" w14:textId="44EC19C0" w:rsidR="000C380D" w:rsidRDefault="000C380D" w:rsidP="00060673">
      <w:pPr>
        <w:pStyle w:val="Heading3noTOC"/>
      </w:pPr>
      <w:bookmarkStart w:id="67" w:name="_Toc126509243"/>
      <w:r>
        <w:t xml:space="preserve">CAA – </w:t>
      </w:r>
      <w:r w:rsidR="005B5489">
        <w:t xml:space="preserve">HFC </w:t>
      </w:r>
      <w:r>
        <w:t>Refrigerants</w:t>
      </w:r>
    </w:p>
    <w:p w14:paraId="4E431BFA" w14:textId="5790D9F1" w:rsidR="000C380D" w:rsidRDefault="005B5489" w:rsidP="00643E99">
      <w:r>
        <w:t xml:space="preserve">EPA </w:t>
      </w:r>
      <w:r w:rsidR="26190625">
        <w:t>finalized revisions to the</w:t>
      </w:r>
      <w:r w:rsidR="00B6080A">
        <w:t xml:space="preserve"> </w:t>
      </w:r>
      <w:r w:rsidR="00607CFC">
        <w:t xml:space="preserve">hydrofluorocarbon </w:t>
      </w:r>
      <w:r w:rsidR="00EA520C">
        <w:t xml:space="preserve">(“HFC”) </w:t>
      </w:r>
      <w:r w:rsidR="00607CFC">
        <w:t xml:space="preserve">refrigerants phase down </w:t>
      </w:r>
      <w:r w:rsidR="2F6F670F">
        <w:t>(</w:t>
      </w:r>
      <w:r w:rsidR="00607CFC">
        <w:t xml:space="preserve">mandated by Congress </w:t>
      </w:r>
      <w:r w:rsidR="000E63B3">
        <w:t>in 2020</w:t>
      </w:r>
      <w:r w:rsidR="00EA520C">
        <w:t>, due to the global warming potential of HFCs</w:t>
      </w:r>
      <w:r w:rsidR="1C9A1E8C">
        <w:t>) in 2024, with the</w:t>
      </w:r>
      <w:r w:rsidR="66CAC745">
        <w:t xml:space="preserve"> final</w:t>
      </w:r>
      <w:r w:rsidR="1C9A1E8C">
        <w:t xml:space="preserve"> rule becoming effective on December 1</w:t>
      </w:r>
      <w:r w:rsidR="50473C7A">
        <w:t>0</w:t>
      </w:r>
      <w:r w:rsidR="50473C7A" w:rsidRPr="3405E7F6">
        <w:rPr>
          <w:vertAlign w:val="superscript"/>
        </w:rPr>
        <w:t>th</w:t>
      </w:r>
      <w:r w:rsidR="50473C7A">
        <w:t>, 2024.</w:t>
      </w:r>
      <w:r w:rsidR="000E63B3">
        <w:t xml:space="preserve"> </w:t>
      </w:r>
    </w:p>
    <w:p w14:paraId="4235890E" w14:textId="406AC950" w:rsidR="00CF184A" w:rsidRPr="00CF184A" w:rsidRDefault="00CF184A" w:rsidP="00060673">
      <w:pPr>
        <w:pStyle w:val="Heading3noTOC"/>
      </w:pPr>
      <w:bookmarkStart w:id="68" w:name="_Toc126515068"/>
      <w:bookmarkStart w:id="69" w:name="_Toc126593839"/>
      <w:bookmarkStart w:id="70" w:name="_Toc130201016"/>
      <w:r w:rsidRPr="00CF184A">
        <w:t xml:space="preserve">CWA </w:t>
      </w:r>
      <w:r w:rsidR="00460DA9">
        <w:t xml:space="preserve">– </w:t>
      </w:r>
      <w:r w:rsidRPr="00CF184A">
        <w:t xml:space="preserve">Section 401 </w:t>
      </w:r>
      <w:r w:rsidR="000B3E44">
        <w:t xml:space="preserve">Water Quality </w:t>
      </w:r>
      <w:r w:rsidRPr="00CF184A">
        <w:t>Certifications</w:t>
      </w:r>
      <w:bookmarkEnd w:id="67"/>
      <w:bookmarkEnd w:id="68"/>
      <w:bookmarkEnd w:id="69"/>
      <w:bookmarkEnd w:id="70"/>
      <w:r w:rsidRPr="00CF184A">
        <w:t xml:space="preserve"> </w:t>
      </w:r>
    </w:p>
    <w:p w14:paraId="5E0E8F6B" w14:textId="63716AB6" w:rsidR="00CF184A" w:rsidRDefault="00287136" w:rsidP="00643E99">
      <w:r>
        <w:t xml:space="preserve">In September 2023, EPA finalized the </w:t>
      </w:r>
      <w:r w:rsidR="00A23FF6" w:rsidRPr="00A23FF6">
        <w:t xml:space="preserve">Water Quality Certification Improvement Rule </w:t>
      </w:r>
      <w:r w:rsidR="001B70BE">
        <w:t xml:space="preserve">related to </w:t>
      </w:r>
      <w:r w:rsidR="00CF184A" w:rsidRPr="00502A2A">
        <w:t>obtain</w:t>
      </w:r>
      <w:r w:rsidR="001B70BE">
        <w:t>ing</w:t>
      </w:r>
      <w:r w:rsidR="00CF184A" w:rsidRPr="00502A2A">
        <w:t xml:space="preserve"> permits or licenses for any discharge into waters of the United States</w:t>
      </w:r>
      <w:r w:rsidR="001B70BE">
        <w:t xml:space="preserve"> through </w:t>
      </w:r>
      <w:r w:rsidR="00CF184A" w:rsidRPr="00502A2A">
        <w:t>CWA Section 401</w:t>
      </w:r>
      <w:r w:rsidR="001B70BE">
        <w:t>, which</w:t>
      </w:r>
      <w:r w:rsidR="00CF184A" w:rsidRPr="00502A2A">
        <w:t xml:space="preserve"> gives states authority </w:t>
      </w:r>
      <w:r w:rsidR="00831632">
        <w:t xml:space="preserve">over </w:t>
      </w:r>
      <w:r w:rsidR="00CF184A" w:rsidRPr="00502A2A">
        <w:t>discharge</w:t>
      </w:r>
      <w:r w:rsidR="00831632">
        <w:t>s that</w:t>
      </w:r>
      <w:r w:rsidR="00CF184A" w:rsidRPr="00502A2A">
        <w:t xml:space="preserve"> do not comply with existing state water quality requirements.</w:t>
      </w:r>
      <w:r w:rsidR="00CF184A">
        <w:t xml:space="preserve"> </w:t>
      </w:r>
    </w:p>
    <w:p w14:paraId="092A22C4" w14:textId="75308460" w:rsidR="00FF71A4" w:rsidRPr="00DA238A" w:rsidRDefault="00FF71A4" w:rsidP="00060673">
      <w:pPr>
        <w:pStyle w:val="Heading3noTOC"/>
      </w:pPr>
      <w:bookmarkStart w:id="71" w:name="_Toc126515069"/>
      <w:bookmarkStart w:id="72" w:name="_Toc126593840"/>
      <w:bookmarkStart w:id="73" w:name="_Toc130201017"/>
      <w:r>
        <w:t>CWA – Nationwide Permit</w:t>
      </w:r>
      <w:bookmarkEnd w:id="71"/>
      <w:bookmarkEnd w:id="72"/>
      <w:bookmarkEnd w:id="73"/>
    </w:p>
    <w:p w14:paraId="64F38DBE" w14:textId="75CCE35D" w:rsidR="00FF71A4" w:rsidRDefault="00FF71A4" w:rsidP="00643E99">
      <w:r w:rsidRPr="4149E082">
        <w:t>N</w:t>
      </w:r>
      <w:r w:rsidR="008C47CC">
        <w:t>ationwide Permits (“NWP”)</w:t>
      </w:r>
      <w:r w:rsidRPr="4149E082">
        <w:t xml:space="preserve"> authoriz</w:t>
      </w:r>
      <w:r>
        <w:t>e</w:t>
      </w:r>
      <w:r w:rsidRPr="4149E082">
        <w:t xml:space="preserve"> certain activities with minimal impact to a WOTUS, allowing projects to move forward without receiving an individual review under CWA </w:t>
      </w:r>
      <w:r w:rsidR="004E09AF">
        <w:t>S</w:t>
      </w:r>
      <w:r w:rsidRPr="4149E082">
        <w:t xml:space="preserve">ection 404. </w:t>
      </w:r>
      <w:r w:rsidR="00E2244A">
        <w:t xml:space="preserve">The USACE recently completed update or reissuance of the NWP program requirements. </w:t>
      </w:r>
    </w:p>
    <w:p w14:paraId="12197FF0" w14:textId="78E19489" w:rsidR="00202664" w:rsidRPr="00DA238A" w:rsidRDefault="00202664" w:rsidP="00060673">
      <w:pPr>
        <w:pStyle w:val="Heading3noTOC"/>
      </w:pPr>
      <w:bookmarkStart w:id="74" w:name="_Toc126593841"/>
      <w:bookmarkStart w:id="75" w:name="_Toc130201018"/>
      <w:r>
        <w:t>CWA – Hazardous Discharges Planning</w:t>
      </w:r>
      <w:bookmarkEnd w:id="74"/>
      <w:bookmarkEnd w:id="75"/>
    </w:p>
    <w:p w14:paraId="5CFF3065" w14:textId="15B310C3" w:rsidR="005644C7" w:rsidRPr="00060673" w:rsidRDefault="00831632" w:rsidP="00060673">
      <w:pPr>
        <w:rPr>
          <w:rStyle w:val="normaltextrun"/>
          <w:rFonts w:cs="Calibri"/>
          <w:color w:val="000000"/>
          <w:bdr w:val="none" w:sz="0" w:space="0" w:color="auto" w:frame="1"/>
        </w:rPr>
      </w:pPr>
      <w:r w:rsidRPr="00060673">
        <w:rPr>
          <w:rStyle w:val="normaltextrun"/>
          <w:rFonts w:cs="Calibri"/>
          <w:color w:val="000000"/>
          <w:bdr w:val="none" w:sz="0" w:space="0" w:color="auto" w:frame="1"/>
        </w:rPr>
        <w:t xml:space="preserve">In </w:t>
      </w:r>
      <w:r w:rsidR="005644C7" w:rsidRPr="00060673">
        <w:rPr>
          <w:rStyle w:val="normaltextrun"/>
          <w:rFonts w:cs="Calibri"/>
          <w:color w:val="000000"/>
          <w:bdr w:val="none" w:sz="0" w:space="0" w:color="auto" w:frame="1"/>
        </w:rPr>
        <w:t>March 202</w:t>
      </w:r>
      <w:r w:rsidR="004D3D0B" w:rsidRPr="00060673">
        <w:rPr>
          <w:rStyle w:val="normaltextrun"/>
          <w:rFonts w:cs="Calibri"/>
          <w:color w:val="000000"/>
          <w:bdr w:val="none" w:sz="0" w:space="0" w:color="auto" w:frame="1"/>
        </w:rPr>
        <w:t>4</w:t>
      </w:r>
      <w:r w:rsidR="005644C7" w:rsidRPr="00060673">
        <w:rPr>
          <w:rStyle w:val="normaltextrun"/>
          <w:rFonts w:cs="Calibri"/>
          <w:color w:val="000000"/>
          <w:bdr w:val="none" w:sz="0" w:space="0" w:color="auto" w:frame="1"/>
        </w:rPr>
        <w:t xml:space="preserve">, EPA </w:t>
      </w:r>
      <w:r w:rsidR="004D3D0B" w:rsidRPr="00060673">
        <w:rPr>
          <w:rStyle w:val="normaltextrun"/>
          <w:rFonts w:cs="Calibri"/>
          <w:color w:val="000000"/>
          <w:bdr w:val="none" w:sz="0" w:space="0" w:color="auto" w:frame="1"/>
        </w:rPr>
        <w:t xml:space="preserve">signed </w:t>
      </w:r>
      <w:r w:rsidR="005644C7" w:rsidRPr="00060673">
        <w:rPr>
          <w:rStyle w:val="normaltextrun"/>
          <w:rFonts w:cs="Calibri"/>
          <w:color w:val="000000"/>
          <w:bdr w:val="none" w:sz="0" w:space="0" w:color="auto" w:frame="1"/>
        </w:rPr>
        <w:t xml:space="preserve">a </w:t>
      </w:r>
      <w:r w:rsidR="004D3D0B" w:rsidRPr="00060673">
        <w:rPr>
          <w:rStyle w:val="normaltextrun"/>
          <w:rFonts w:cs="Calibri"/>
          <w:color w:val="000000"/>
          <w:bdr w:val="none" w:sz="0" w:space="0" w:color="auto" w:frame="1"/>
        </w:rPr>
        <w:t xml:space="preserve">final </w:t>
      </w:r>
      <w:r w:rsidR="005644C7" w:rsidRPr="00060673">
        <w:rPr>
          <w:rStyle w:val="normaltextrun"/>
          <w:rFonts w:cs="Calibri"/>
          <w:color w:val="000000"/>
          <w:bdr w:val="none" w:sz="0" w:space="0" w:color="auto" w:frame="1"/>
        </w:rPr>
        <w:t xml:space="preserve">rule in response to a consent decree between EPA and environmental groups </w:t>
      </w:r>
      <w:r w:rsidR="004D3D0B" w:rsidRPr="00060673">
        <w:rPr>
          <w:rStyle w:val="normaltextrun"/>
          <w:rFonts w:cs="Calibri"/>
          <w:color w:val="000000"/>
          <w:bdr w:val="none" w:sz="0" w:space="0" w:color="auto" w:frame="1"/>
        </w:rPr>
        <w:t>that</w:t>
      </w:r>
      <w:r w:rsidR="005644C7" w:rsidRPr="00060673">
        <w:rPr>
          <w:rStyle w:val="normaltextrun"/>
          <w:rFonts w:cs="Calibri"/>
          <w:color w:val="000000"/>
          <w:bdr w:val="none" w:sz="0" w:space="0" w:color="auto" w:frame="1"/>
        </w:rPr>
        <w:t xml:space="preserve"> would require facility response plans (</w:t>
      </w:r>
      <w:r w:rsidR="0084222E" w:rsidRPr="00060673">
        <w:rPr>
          <w:rStyle w:val="normaltextrun"/>
          <w:rFonts w:cs="Calibri"/>
          <w:color w:val="000000"/>
          <w:bdr w:val="none" w:sz="0" w:space="0" w:color="auto" w:frame="1"/>
        </w:rPr>
        <w:t>“</w:t>
      </w:r>
      <w:r w:rsidR="005644C7" w:rsidRPr="00060673">
        <w:rPr>
          <w:rStyle w:val="normaltextrun"/>
          <w:rFonts w:cs="Calibri"/>
          <w:color w:val="000000"/>
          <w:bdr w:val="none" w:sz="0" w:space="0" w:color="auto" w:frame="1"/>
        </w:rPr>
        <w:t>FRPs</w:t>
      </w:r>
      <w:r w:rsidR="0084222E" w:rsidRPr="00060673">
        <w:rPr>
          <w:rStyle w:val="normaltextrun"/>
          <w:rFonts w:cs="Calibri"/>
          <w:color w:val="000000"/>
          <w:bdr w:val="none" w:sz="0" w:space="0" w:color="auto" w:frame="1"/>
        </w:rPr>
        <w:t>”</w:t>
      </w:r>
      <w:r w:rsidR="005644C7" w:rsidRPr="00060673">
        <w:rPr>
          <w:rStyle w:val="normaltextrun"/>
          <w:rFonts w:cs="Calibri"/>
          <w:color w:val="000000"/>
          <w:bdr w:val="none" w:sz="0" w:space="0" w:color="auto" w:frame="1"/>
        </w:rPr>
        <w:t>) to address potential worst-case discharges of hazardous substances under the CWA. This would expand the current FRP program that only deals with oil releases.</w:t>
      </w:r>
    </w:p>
    <w:p w14:paraId="041DE2DD" w14:textId="33572BAA" w:rsidR="00E93B8E" w:rsidRPr="00DA238A" w:rsidRDefault="00E93B8E" w:rsidP="00060673">
      <w:pPr>
        <w:pStyle w:val="Heading3noTOC"/>
      </w:pPr>
      <w:bookmarkStart w:id="76" w:name="_Toc126593842"/>
      <w:bookmarkStart w:id="77" w:name="_Toc130201019"/>
      <w:r>
        <w:t>PFAS</w:t>
      </w:r>
      <w:r w:rsidR="00A72482">
        <w:t xml:space="preserve"> Regulations</w:t>
      </w:r>
      <w:bookmarkEnd w:id="76"/>
      <w:bookmarkEnd w:id="77"/>
    </w:p>
    <w:p w14:paraId="0175B109" w14:textId="34138BF8" w:rsidR="002D1B78" w:rsidRDefault="00A72482" w:rsidP="00060673">
      <w:r>
        <w:rPr>
          <w:rStyle w:val="normaltextrun"/>
        </w:rPr>
        <w:t xml:space="preserve">EPA </w:t>
      </w:r>
      <w:r w:rsidR="00382FB6">
        <w:rPr>
          <w:rStyle w:val="normaltextrun"/>
        </w:rPr>
        <w:t>has</w:t>
      </w:r>
      <w:r w:rsidR="00356C0A">
        <w:rPr>
          <w:rStyle w:val="normaltextrun"/>
        </w:rPr>
        <w:t xml:space="preserve"> begun implementing</w:t>
      </w:r>
      <w:r>
        <w:rPr>
          <w:rStyle w:val="normaltextrun"/>
        </w:rPr>
        <w:t xml:space="preserve"> regulation of </w:t>
      </w:r>
      <w:r w:rsidR="00A575A4">
        <w:rPr>
          <w:rStyle w:val="normaltextrun"/>
        </w:rPr>
        <w:t>p</w:t>
      </w:r>
      <w:r w:rsidR="00A575A4" w:rsidRPr="00A575A4">
        <w:rPr>
          <w:rStyle w:val="normaltextrun"/>
        </w:rPr>
        <w:t xml:space="preserve">er- and </w:t>
      </w:r>
      <w:r w:rsidR="00A575A4">
        <w:rPr>
          <w:rStyle w:val="normaltextrun"/>
        </w:rPr>
        <w:t>p</w:t>
      </w:r>
      <w:r w:rsidR="00A575A4" w:rsidRPr="00A575A4">
        <w:rPr>
          <w:rStyle w:val="normaltextrun"/>
        </w:rPr>
        <w:t xml:space="preserve">olyfluoroalkyl </w:t>
      </w:r>
      <w:r w:rsidR="00A575A4">
        <w:rPr>
          <w:rStyle w:val="normaltextrun"/>
        </w:rPr>
        <w:t>(“</w:t>
      </w:r>
      <w:r>
        <w:rPr>
          <w:rStyle w:val="normaltextrun"/>
        </w:rPr>
        <w:t>PFAS</w:t>
      </w:r>
      <w:r w:rsidR="00A575A4">
        <w:rPr>
          <w:rStyle w:val="normaltextrun"/>
        </w:rPr>
        <w:t>”) substances</w:t>
      </w:r>
      <w:r>
        <w:rPr>
          <w:rStyle w:val="normaltextrun"/>
        </w:rPr>
        <w:t xml:space="preserve"> through a variety of avenues across various environmental media. </w:t>
      </w:r>
      <w:r w:rsidR="00141202">
        <w:rPr>
          <w:rStyle w:val="normaltextrun"/>
        </w:rPr>
        <w:t>For example, i</w:t>
      </w:r>
      <w:r>
        <w:rPr>
          <w:rStyle w:val="normaltextrun"/>
        </w:rPr>
        <w:t xml:space="preserve">n </w:t>
      </w:r>
      <w:r w:rsidR="004E71E8">
        <w:rPr>
          <w:rStyle w:val="normaltextrun"/>
          <w:rFonts w:cs="Calibri"/>
          <w:color w:val="000000"/>
          <w:szCs w:val="20"/>
          <w:bdr w:val="none" w:sz="0" w:space="0" w:color="auto" w:frame="1"/>
        </w:rPr>
        <w:t>April 2024</w:t>
      </w:r>
      <w:r w:rsidR="002D1B78" w:rsidRPr="00060673">
        <w:rPr>
          <w:rStyle w:val="normaltextrun"/>
          <w:rFonts w:cs="Calibri"/>
          <w:color w:val="000000"/>
          <w:szCs w:val="20"/>
          <w:bdr w:val="none" w:sz="0" w:space="0" w:color="auto" w:frame="1"/>
        </w:rPr>
        <w:t xml:space="preserve">, the EPA published a </w:t>
      </w:r>
      <w:r w:rsidR="00A558B0">
        <w:rPr>
          <w:rStyle w:val="normaltextrun"/>
          <w:rFonts w:cs="Calibri"/>
          <w:color w:val="000000"/>
          <w:szCs w:val="20"/>
          <w:bdr w:val="none" w:sz="0" w:space="0" w:color="auto" w:frame="1"/>
        </w:rPr>
        <w:t>final</w:t>
      </w:r>
      <w:r w:rsidR="00A558B0" w:rsidRPr="00060673">
        <w:rPr>
          <w:rStyle w:val="normaltextrun"/>
          <w:rFonts w:cs="Calibri"/>
          <w:color w:val="000000"/>
          <w:szCs w:val="20"/>
          <w:bdr w:val="none" w:sz="0" w:space="0" w:color="auto" w:frame="1"/>
        </w:rPr>
        <w:t xml:space="preserve"> </w:t>
      </w:r>
      <w:r w:rsidR="002D1B78" w:rsidRPr="00060673">
        <w:rPr>
          <w:rStyle w:val="normaltextrun"/>
          <w:rFonts w:cs="Calibri"/>
          <w:color w:val="000000"/>
          <w:szCs w:val="20"/>
          <w:bdr w:val="none" w:sz="0" w:space="0" w:color="auto" w:frame="1"/>
        </w:rPr>
        <w:t xml:space="preserve">rulemaking to the Federal Register to designate </w:t>
      </w:r>
      <w:r w:rsidR="008510AD" w:rsidRPr="00060673">
        <w:rPr>
          <w:rStyle w:val="normaltextrun"/>
          <w:rFonts w:cs="Calibri"/>
          <w:color w:val="000000"/>
          <w:szCs w:val="20"/>
          <w:bdr w:val="none" w:sz="0" w:space="0" w:color="auto" w:frame="1"/>
        </w:rPr>
        <w:t xml:space="preserve">certain types of PFAS </w:t>
      </w:r>
      <w:r w:rsidR="002D1B78" w:rsidRPr="00060673">
        <w:rPr>
          <w:rStyle w:val="normaltextrun"/>
          <w:rFonts w:cs="Calibri"/>
          <w:color w:val="000000"/>
          <w:szCs w:val="20"/>
          <w:bdr w:val="none" w:sz="0" w:space="0" w:color="auto" w:frame="1"/>
        </w:rPr>
        <w:t>as “hazardous substances” under the Comprehensive Environmental Response, Compensation and Liability Act (</w:t>
      </w:r>
      <w:r w:rsidR="008510AD" w:rsidRPr="00060673">
        <w:rPr>
          <w:rStyle w:val="normaltextrun"/>
          <w:rFonts w:cs="Calibri"/>
          <w:color w:val="000000"/>
          <w:szCs w:val="20"/>
          <w:bdr w:val="none" w:sz="0" w:space="0" w:color="auto" w:frame="1"/>
        </w:rPr>
        <w:t>“</w:t>
      </w:r>
      <w:r w:rsidR="002D1B78" w:rsidRPr="00060673">
        <w:rPr>
          <w:rStyle w:val="normaltextrun"/>
          <w:rFonts w:cs="Calibri"/>
          <w:color w:val="000000"/>
          <w:szCs w:val="20"/>
          <w:bdr w:val="none" w:sz="0" w:space="0" w:color="auto" w:frame="1"/>
        </w:rPr>
        <w:t>CERCLA</w:t>
      </w:r>
      <w:r w:rsidR="008510AD" w:rsidRPr="00060673">
        <w:rPr>
          <w:rStyle w:val="normaltextrun"/>
          <w:rFonts w:cs="Calibri"/>
          <w:color w:val="000000"/>
          <w:szCs w:val="20"/>
          <w:bdr w:val="none" w:sz="0" w:space="0" w:color="auto" w:frame="1"/>
        </w:rPr>
        <w:t>”</w:t>
      </w:r>
      <w:r w:rsidR="002D1B78" w:rsidRPr="00060673">
        <w:rPr>
          <w:rStyle w:val="normaltextrun"/>
          <w:rFonts w:cs="Calibri"/>
          <w:color w:val="000000"/>
          <w:szCs w:val="20"/>
          <w:bdr w:val="none" w:sz="0" w:space="0" w:color="auto" w:frame="1"/>
        </w:rPr>
        <w:t>).</w:t>
      </w:r>
      <w:r w:rsidR="007C14B7" w:rsidRPr="00060673">
        <w:rPr>
          <w:rStyle w:val="normaltextrun"/>
          <w:rFonts w:cs="Calibri"/>
          <w:color w:val="000000"/>
          <w:szCs w:val="20"/>
          <w:bdr w:val="none" w:sz="0" w:space="0" w:color="auto" w:frame="1"/>
        </w:rPr>
        <w:t xml:space="preserve"> </w:t>
      </w:r>
      <w:r w:rsidR="004E71E8">
        <w:rPr>
          <w:rStyle w:val="normaltextrun"/>
          <w:rFonts w:cs="Calibri"/>
          <w:color w:val="000000"/>
          <w:szCs w:val="20"/>
          <w:bdr w:val="none" w:sz="0" w:space="0" w:color="auto" w:frame="1"/>
        </w:rPr>
        <w:t>In addition, in April 2024, EPA published a final rule est</w:t>
      </w:r>
      <w:r w:rsidR="00A558B0">
        <w:rPr>
          <w:rStyle w:val="normaltextrun"/>
          <w:rFonts w:cs="Calibri"/>
          <w:color w:val="000000"/>
          <w:szCs w:val="20"/>
          <w:bdr w:val="none" w:sz="0" w:space="0" w:color="auto" w:frame="1"/>
        </w:rPr>
        <w:t xml:space="preserve">ablishing National Primary Drinking Water Regulations for six PFAS. </w:t>
      </w:r>
      <w:r w:rsidR="00356C0A">
        <w:rPr>
          <w:rStyle w:val="normaltextrun"/>
          <w:rFonts w:cs="Calibri"/>
          <w:color w:val="000000"/>
          <w:szCs w:val="20"/>
          <w:bdr w:val="none" w:sz="0" w:space="0" w:color="auto" w:frame="1"/>
        </w:rPr>
        <w:t>EPA has also added many PFAS to the Toxics Release Inventory.</w:t>
      </w:r>
    </w:p>
    <w:p w14:paraId="7F37E926" w14:textId="15123F6F" w:rsidR="00CA53CA" w:rsidRPr="00DA238A" w:rsidRDefault="00141202" w:rsidP="00060673">
      <w:pPr>
        <w:pStyle w:val="Heading3noTOC"/>
      </w:pPr>
      <w:bookmarkStart w:id="78" w:name="_Toc126593843"/>
      <w:bookmarkStart w:id="79" w:name="_Toc130201020"/>
      <w:r>
        <w:t>ESA Developments</w:t>
      </w:r>
      <w:bookmarkEnd w:id="78"/>
      <w:bookmarkEnd w:id="79"/>
    </w:p>
    <w:p w14:paraId="3CABE3EF" w14:textId="3CB215BC" w:rsidR="00FE41C8" w:rsidRDefault="00141202" w:rsidP="007831C3">
      <w:pPr>
        <w:rPr>
          <w:rFonts w:eastAsia="Times New Roman" w:cs="Arial"/>
        </w:rPr>
      </w:pPr>
      <w:r w:rsidRPr="00060673">
        <w:t>T</w:t>
      </w:r>
      <w:r w:rsidRPr="00643E99">
        <w:rPr>
          <w:rStyle w:val="normaltextrun"/>
          <w:rFonts w:cs="Calibri"/>
          <w:color w:val="000000"/>
          <w:bdr w:val="none" w:sz="0" w:space="0" w:color="auto" w:frame="1"/>
        </w:rPr>
        <w:t xml:space="preserve">he Company monitors developments related to the Endangered Species Act (“ESA”) on an ongoing basis, especially </w:t>
      </w:r>
      <w:r w:rsidR="00A374C0" w:rsidRPr="00643E99">
        <w:rPr>
          <w:rStyle w:val="normaltextrun"/>
          <w:rFonts w:cs="Calibri"/>
          <w:color w:val="000000"/>
          <w:bdr w:val="none" w:sz="0" w:space="0" w:color="auto" w:frame="1"/>
        </w:rPr>
        <w:t>for affected species found in the Southeast.</w:t>
      </w:r>
      <w:r w:rsidRPr="00643E99">
        <w:rPr>
          <w:rStyle w:val="normaltextrun"/>
          <w:rFonts w:cs="Calibri"/>
          <w:color w:val="000000"/>
          <w:bdr w:val="none" w:sz="0" w:space="0" w:color="auto" w:frame="1"/>
        </w:rPr>
        <w:t xml:space="preserve"> </w:t>
      </w:r>
      <w:r w:rsidR="00FE41C8" w:rsidRPr="00643E99">
        <w:rPr>
          <w:rStyle w:val="normaltextrun"/>
          <w:rFonts w:cs="Calibri"/>
          <w:color w:val="000000"/>
          <w:bdr w:val="none" w:sz="0" w:space="0" w:color="auto" w:frame="1"/>
        </w:rPr>
        <w:t xml:space="preserve">The purpose of the ESA is to protect and recover imperiled species and the ecosystems upon which they depend. </w:t>
      </w:r>
      <w:r w:rsidR="00A374C0" w:rsidRPr="00643E99">
        <w:rPr>
          <w:rStyle w:val="normaltextrun"/>
          <w:rFonts w:cs="Calibri"/>
          <w:color w:val="000000"/>
          <w:bdr w:val="none" w:sz="0" w:space="0" w:color="auto" w:frame="1"/>
        </w:rPr>
        <w:t xml:space="preserve">ESA regulatory </w:t>
      </w:r>
      <w:r w:rsidR="00A374C0" w:rsidRPr="00643E99">
        <w:rPr>
          <w:rStyle w:val="normaltextrun"/>
          <w:rFonts w:cs="Calibri"/>
          <w:color w:val="000000"/>
          <w:bdr w:val="none" w:sz="0" w:space="0" w:color="auto" w:frame="1"/>
        </w:rPr>
        <w:lastRenderedPageBreak/>
        <w:t xml:space="preserve">developments typically affect the construction new facilities. </w:t>
      </w:r>
      <w:r w:rsidR="63C2DA51" w:rsidRPr="00643E99">
        <w:rPr>
          <w:rStyle w:val="normaltextrun"/>
          <w:rFonts w:cs="Calibri"/>
          <w:color w:val="000000"/>
          <w:bdr w:val="none" w:sz="0" w:space="0" w:color="auto" w:frame="1"/>
        </w:rPr>
        <w:t>On April 5, 2024, the U.S. Fish and Wildlife Services (</w:t>
      </w:r>
      <w:r w:rsidR="0084222E" w:rsidRPr="00643E99">
        <w:rPr>
          <w:rStyle w:val="normaltextrun"/>
          <w:rFonts w:cs="Calibri"/>
          <w:color w:val="000000"/>
          <w:bdr w:val="none" w:sz="0" w:space="0" w:color="auto" w:frame="1"/>
        </w:rPr>
        <w:t>“US</w:t>
      </w:r>
      <w:r w:rsidR="63C2DA51" w:rsidRPr="00643E99">
        <w:rPr>
          <w:rStyle w:val="normaltextrun"/>
          <w:rFonts w:cs="Calibri"/>
          <w:color w:val="000000"/>
          <w:bdr w:val="none" w:sz="0" w:space="0" w:color="auto" w:frame="1"/>
        </w:rPr>
        <w:t>FWS</w:t>
      </w:r>
      <w:r w:rsidR="0084222E" w:rsidRPr="00643E99">
        <w:rPr>
          <w:rStyle w:val="normaltextrun"/>
          <w:rFonts w:cs="Calibri"/>
          <w:color w:val="000000"/>
          <w:bdr w:val="none" w:sz="0" w:space="0" w:color="auto" w:frame="1"/>
        </w:rPr>
        <w:t>”</w:t>
      </w:r>
      <w:r w:rsidR="63C2DA51" w:rsidRPr="00643E99">
        <w:rPr>
          <w:rStyle w:val="normaltextrun"/>
          <w:rFonts w:cs="Calibri"/>
          <w:color w:val="000000"/>
          <w:bdr w:val="none" w:sz="0" w:space="0" w:color="auto" w:frame="1"/>
        </w:rPr>
        <w:t xml:space="preserve">) published three final rules under the ESA: Blanket 4d, Section 4 and Section 7. On April 12, the </w:t>
      </w:r>
      <w:r w:rsidR="0084222E" w:rsidRPr="00643E99">
        <w:rPr>
          <w:rStyle w:val="normaltextrun"/>
          <w:rFonts w:cs="Calibri"/>
          <w:color w:val="000000"/>
          <w:bdr w:val="none" w:sz="0" w:space="0" w:color="auto" w:frame="1"/>
        </w:rPr>
        <w:t>US</w:t>
      </w:r>
      <w:r w:rsidR="63C2DA51" w:rsidRPr="00643E99">
        <w:rPr>
          <w:rStyle w:val="normaltextrun"/>
          <w:rFonts w:cs="Calibri"/>
          <w:color w:val="000000"/>
          <w:bdr w:val="none" w:sz="0" w:space="0" w:color="auto" w:frame="1"/>
        </w:rPr>
        <w:t xml:space="preserve">FWS </w:t>
      </w:r>
      <w:r w:rsidR="1568BECE" w:rsidRPr="00643E99">
        <w:rPr>
          <w:rStyle w:val="normaltextrun"/>
          <w:rFonts w:cs="Calibri"/>
          <w:color w:val="000000"/>
          <w:bdr w:val="none" w:sz="0" w:space="0" w:color="auto" w:frame="1"/>
        </w:rPr>
        <w:t xml:space="preserve">published the ESA Section 10 final rule. The Blanket 4d rule codifies that threatened species including </w:t>
      </w:r>
      <w:r w:rsidR="7D2AE2BA" w:rsidRPr="00643E99">
        <w:rPr>
          <w:rStyle w:val="normaltextrun"/>
          <w:rFonts w:cs="Calibri"/>
          <w:color w:val="000000"/>
          <w:bdr w:val="none" w:sz="0" w:space="0" w:color="auto" w:frame="1"/>
        </w:rPr>
        <w:t>fish, wildlife</w:t>
      </w:r>
      <w:r w:rsidR="1568BECE" w:rsidRPr="00643E99">
        <w:rPr>
          <w:rStyle w:val="normaltextrun"/>
          <w:rFonts w:cs="Calibri"/>
          <w:color w:val="000000"/>
          <w:bdr w:val="none" w:sz="0" w:space="0" w:color="auto" w:frame="1"/>
        </w:rPr>
        <w:t xml:space="preserve">, and plants will </w:t>
      </w:r>
      <w:r w:rsidR="0C324A18" w:rsidRPr="00643E99">
        <w:rPr>
          <w:rStyle w:val="normaltextrun"/>
          <w:rFonts w:cs="Calibri"/>
          <w:color w:val="000000"/>
          <w:bdr w:val="none" w:sz="0" w:space="0" w:color="auto" w:frame="1"/>
        </w:rPr>
        <w:t>receive</w:t>
      </w:r>
      <w:r w:rsidR="7F2A7B05" w:rsidRPr="00643E99">
        <w:rPr>
          <w:rStyle w:val="normaltextrun"/>
          <w:rFonts w:cs="Calibri"/>
          <w:color w:val="000000"/>
          <w:bdr w:val="none" w:sz="0" w:space="0" w:color="auto" w:frame="1"/>
        </w:rPr>
        <w:t xml:space="preserve"> endangered </w:t>
      </w:r>
      <w:r w:rsidR="426C9265" w:rsidRPr="00643E99">
        <w:rPr>
          <w:rStyle w:val="normaltextrun"/>
          <w:rFonts w:cs="Calibri"/>
          <w:color w:val="000000"/>
          <w:bdr w:val="none" w:sz="0" w:space="0" w:color="auto" w:frame="1"/>
        </w:rPr>
        <w:t>species protection</w:t>
      </w:r>
      <w:r w:rsidR="7F2A7B05" w:rsidRPr="00643E99">
        <w:rPr>
          <w:rStyle w:val="normaltextrun"/>
          <w:rFonts w:cs="Calibri"/>
          <w:color w:val="000000"/>
          <w:bdr w:val="none" w:sz="0" w:space="0" w:color="auto" w:frame="1"/>
        </w:rPr>
        <w:t xml:space="preserve"> unless given a species- </w:t>
      </w:r>
      <w:r w:rsidR="6541DAEB" w:rsidRPr="00643E99">
        <w:rPr>
          <w:rStyle w:val="normaltextrun"/>
          <w:rFonts w:cs="Calibri"/>
          <w:color w:val="000000"/>
          <w:bdr w:val="none" w:sz="0" w:space="0" w:color="auto" w:frame="1"/>
        </w:rPr>
        <w:t>specific</w:t>
      </w:r>
      <w:r w:rsidR="7F2A7B05" w:rsidRPr="00643E99">
        <w:rPr>
          <w:rStyle w:val="normaltextrun"/>
          <w:rFonts w:cs="Calibri"/>
          <w:color w:val="000000"/>
          <w:bdr w:val="none" w:sz="0" w:space="0" w:color="auto" w:frame="1"/>
        </w:rPr>
        <w:t xml:space="preserve"> rule. This rule allows federally recognized tribes to aid protected species without a permit. </w:t>
      </w:r>
      <w:r w:rsidR="2E1CCF74" w:rsidRPr="00643E99">
        <w:rPr>
          <w:rStyle w:val="normaltextrun"/>
          <w:rFonts w:cs="Calibri"/>
          <w:color w:val="000000"/>
          <w:bdr w:val="none" w:sz="0" w:space="0" w:color="auto" w:frame="1"/>
        </w:rPr>
        <w:t xml:space="preserve">The listing and critical habitat under Section 4 clarifies delisting process does need to demonstrate that a recovery plan’s criteria have been met, only if best </w:t>
      </w:r>
      <w:r w:rsidR="4F3C8D48" w:rsidRPr="00643E99">
        <w:rPr>
          <w:rStyle w:val="normaltextrun"/>
          <w:rFonts w:cs="Calibri"/>
          <w:color w:val="000000"/>
          <w:bdr w:val="none" w:sz="0" w:space="0" w:color="auto" w:frame="1"/>
        </w:rPr>
        <w:t xml:space="preserve">available data provide </w:t>
      </w:r>
      <w:r w:rsidR="0299C812" w:rsidRPr="00643E99">
        <w:rPr>
          <w:rStyle w:val="normaltextrun"/>
          <w:rFonts w:cs="Calibri"/>
          <w:color w:val="000000"/>
          <w:bdr w:val="none" w:sz="0" w:space="0" w:color="auto" w:frame="1"/>
        </w:rPr>
        <w:t>sufficient</w:t>
      </w:r>
      <w:r w:rsidR="4F3C8D48" w:rsidRPr="00643E99">
        <w:rPr>
          <w:rStyle w:val="normaltextrun"/>
          <w:rFonts w:cs="Calibri"/>
          <w:color w:val="000000"/>
          <w:bdr w:val="none" w:sz="0" w:space="0" w:color="auto" w:frame="1"/>
        </w:rPr>
        <w:t xml:space="preserve"> scientific evidence that species no longer warrants protection. The interagency cooperation under Section 7 allows for </w:t>
      </w:r>
      <w:r w:rsidR="4189C35F" w:rsidRPr="00643E99">
        <w:rPr>
          <w:rStyle w:val="normaltextrun"/>
          <w:rFonts w:cs="Calibri"/>
          <w:color w:val="000000"/>
          <w:bdr w:val="none" w:sz="0" w:space="0" w:color="auto" w:frame="1"/>
        </w:rPr>
        <w:t xml:space="preserve">reasonable and prudent measures including </w:t>
      </w:r>
      <w:r w:rsidR="4189C35F" w:rsidRPr="00060673">
        <w:t>compensatory mitigation for non-</w:t>
      </w:r>
      <w:r w:rsidR="3F2A0C15" w:rsidRPr="00060673">
        <w:t>jeopardy</w:t>
      </w:r>
      <w:r w:rsidR="4189C35F" w:rsidRPr="00060673">
        <w:t xml:space="preserve"> decisions. The Section 10 revisions are intended to provide clarity, reducing time and cost associated with the permit application process. </w:t>
      </w:r>
    </w:p>
    <w:p w14:paraId="016BE2E2" w14:textId="2FD13EC8" w:rsidR="00A374C0" w:rsidRPr="00DA238A" w:rsidRDefault="00A374C0" w:rsidP="00060673">
      <w:pPr>
        <w:pStyle w:val="Heading3noTOC"/>
      </w:pPr>
      <w:bookmarkStart w:id="80" w:name="_Toc126593844"/>
      <w:bookmarkStart w:id="81" w:name="_Toc130201021"/>
      <w:r>
        <w:t>NEPA Developments</w:t>
      </w:r>
      <w:bookmarkEnd w:id="80"/>
      <w:bookmarkEnd w:id="81"/>
    </w:p>
    <w:p w14:paraId="023DC483" w14:textId="566DBB56" w:rsidR="005A1E43" w:rsidRDefault="005A1E43" w:rsidP="007831C3">
      <w:r w:rsidRPr="72049F6B">
        <w:t xml:space="preserve">In April 2022, the Council for Environmental Quality (“CEQ”) finalized updates to the </w:t>
      </w:r>
      <w:r w:rsidR="006076B1" w:rsidRPr="72049F6B">
        <w:t>NEPA</w:t>
      </w:r>
      <w:r w:rsidR="00C5051C" w:rsidRPr="72049F6B">
        <w:t xml:space="preserve"> regulations</w:t>
      </w:r>
      <w:r w:rsidR="0066777A" w:rsidRPr="72049F6B">
        <w:t xml:space="preserve">, </w:t>
      </w:r>
      <w:r w:rsidRPr="72049F6B">
        <w:t>essentially reversing actions in the 2020 NEPA regulations.</w:t>
      </w:r>
      <w:r w:rsidR="00E64C8A" w:rsidRPr="72049F6B">
        <w:t xml:space="preserve"> </w:t>
      </w:r>
      <w:r w:rsidR="00652D0C" w:rsidRPr="72049F6B">
        <w:t xml:space="preserve">In July 2023, </w:t>
      </w:r>
      <w:r w:rsidR="00D239F7" w:rsidRPr="72049F6B">
        <w:t>the CEQ proposed the Phase 2 NEPA rule named “Bipartisan Permitting Reform Implementation Rule” to implement the NEPA amendments included in the 2023 Fiscal Responsibility Act, as well as ensure “consideration of relevant environmental, climate change, and environmental justice effects</w:t>
      </w:r>
      <w:r w:rsidR="007D7253" w:rsidRPr="72049F6B">
        <w:t>.</w:t>
      </w:r>
      <w:r w:rsidR="00D239F7" w:rsidRPr="72049F6B">
        <w:t>”</w:t>
      </w:r>
      <w:r w:rsidR="75DFDD4E" w:rsidRPr="72049F6B">
        <w:t xml:space="preserve"> On May 1, 2024, CEQ published the NEPA Phase 2 Final </w:t>
      </w:r>
      <w:r w:rsidR="3694BBE7" w:rsidRPr="72049F6B">
        <w:t>R</w:t>
      </w:r>
      <w:r w:rsidR="75DFDD4E" w:rsidRPr="72049F6B">
        <w:t>ule. T</w:t>
      </w:r>
      <w:r w:rsidR="6B51335F" w:rsidRPr="72049F6B">
        <w:t>h</w:t>
      </w:r>
      <w:r w:rsidR="75DFDD4E" w:rsidRPr="72049F6B">
        <w:t xml:space="preserve">is final rule enhances consideration of climate change and environmental justice effects in the </w:t>
      </w:r>
      <w:r w:rsidR="2532395D" w:rsidRPr="72049F6B">
        <w:t>environmental</w:t>
      </w:r>
      <w:r w:rsidR="75DFDD4E" w:rsidRPr="72049F6B">
        <w:t xml:space="preserve"> review </w:t>
      </w:r>
      <w:r w:rsidR="73166C84" w:rsidRPr="72049F6B">
        <w:t>process and is intended to “encourage improved environmental outcomes.”</w:t>
      </w:r>
      <w:r w:rsidR="6C9D2F4D" w:rsidRPr="72049F6B">
        <w:t xml:space="preserve"> On May 21, 2024, a 21-state coalition</w:t>
      </w:r>
      <w:r w:rsidR="00396FEE">
        <w:t>, including Georgia,</w:t>
      </w:r>
      <w:r w:rsidR="6C9D2F4D" w:rsidRPr="72049F6B">
        <w:t xml:space="preserve"> filed suit in the U.S. District Court for the District of North Dakota challenging the final rule. The states are asking the court to vacate the Phase II </w:t>
      </w:r>
      <w:r w:rsidR="5A9D791C" w:rsidRPr="72049F6B">
        <w:t xml:space="preserve">NEPA Rule, remand it to CEQ, enjoin CEQ from enforcing the rule and reinstate the 2020 rule. </w:t>
      </w:r>
      <w:r w:rsidR="4BEEC73A" w:rsidRPr="72049F6B">
        <w:t>The</w:t>
      </w:r>
      <w:r w:rsidR="5A9D791C" w:rsidRPr="72049F6B">
        <w:t xml:space="preserve"> state coalition is led by North Dakota and Iowa </w:t>
      </w:r>
      <w:r w:rsidR="5AF0550F" w:rsidRPr="72049F6B">
        <w:t xml:space="preserve">and </w:t>
      </w:r>
      <w:r w:rsidR="002403E8">
        <w:t xml:space="preserve">included Georgia, among </w:t>
      </w:r>
      <w:r w:rsidR="008E7921">
        <w:t>others.</w:t>
      </w:r>
      <w:r w:rsidR="5AF0550F" w:rsidRPr="72049F6B">
        <w:t xml:space="preserve"> </w:t>
      </w:r>
      <w:r w:rsidR="3D148BC4" w:rsidRPr="72049F6B">
        <w:t xml:space="preserve"> </w:t>
      </w:r>
    </w:p>
    <w:p w14:paraId="5AE9E211" w14:textId="1285B96B" w:rsidR="00F647E5" w:rsidRPr="00D239F7" w:rsidRDefault="007C38FA" w:rsidP="007831C3">
      <w:r>
        <w:t>In another case</w:t>
      </w:r>
      <w:r w:rsidR="00ED5373">
        <w:t xml:space="preserve"> involving several federal agencies who </w:t>
      </w:r>
      <w:r w:rsidR="00F9381E">
        <w:t>did not prepare an environmental assessment under NEPA</w:t>
      </w:r>
      <w:r w:rsidR="00613000">
        <w:t xml:space="preserve"> and petitioner environmental groups</w:t>
      </w:r>
      <w:r w:rsidR="00B76E1E">
        <w:t>, the D.C. Circuit Court held that the CEQ lacks the statutory authority from Congress to bind federal agencies with NEPA regulations</w:t>
      </w:r>
      <w:r w:rsidR="009C06E4">
        <w:t>.</w:t>
      </w:r>
      <w:r w:rsidR="007C14B7">
        <w:t xml:space="preserve"> </w:t>
      </w:r>
      <w:r w:rsidR="39B26A93" w:rsidRPr="18316234">
        <w:t>If the decision stands,</w:t>
      </w:r>
      <w:r w:rsidR="009C06E4">
        <w:t xml:space="preserve"> the status of CEQ’s NEPA regulations </w:t>
      </w:r>
      <w:r w:rsidR="398B9611" w:rsidRPr="6AC88F78">
        <w:t xml:space="preserve">are </w:t>
      </w:r>
      <w:r w:rsidR="009C06E4">
        <w:t>uncertain since the court did not directly vacate the CEQ regulations.</w:t>
      </w:r>
    </w:p>
    <w:p w14:paraId="2FF743D2" w14:textId="58E7D1A5" w:rsidR="005477B2" w:rsidRPr="00DA238A" w:rsidRDefault="00E90CB1" w:rsidP="00FE396A">
      <w:pPr>
        <w:pStyle w:val="Heading3noTOC"/>
      </w:pPr>
      <w:bookmarkStart w:id="82" w:name="_Toc126593845"/>
      <w:bookmarkStart w:id="83" w:name="_Toc130201022"/>
      <w:r>
        <w:t>TMDL Developments</w:t>
      </w:r>
      <w:bookmarkEnd w:id="82"/>
      <w:bookmarkEnd w:id="83"/>
    </w:p>
    <w:p w14:paraId="6128C61D" w14:textId="24574FDD" w:rsidR="00831315" w:rsidRDefault="0031209E" w:rsidP="00FE396A">
      <w:r w:rsidRPr="00FE396A">
        <w:rPr>
          <w:rStyle w:val="normaltextrun"/>
          <w:rFonts w:cs="Calibri"/>
          <w:color w:val="000000"/>
          <w:szCs w:val="20"/>
          <w:bdr w:val="none" w:sz="0" w:space="0" w:color="auto" w:frame="1"/>
        </w:rPr>
        <w:t>S</w:t>
      </w:r>
      <w:r w:rsidR="00975E48" w:rsidRPr="00FE396A">
        <w:rPr>
          <w:rStyle w:val="normaltextrun"/>
          <w:rFonts w:cs="Calibri"/>
          <w:color w:val="000000"/>
          <w:szCs w:val="20"/>
          <w:bdr w:val="none" w:sz="0" w:space="0" w:color="auto" w:frame="1"/>
        </w:rPr>
        <w:t>tates are required to identify impaired waters (waters that do not meet applicable water quality standards), develop total maximum daily loads (“TMDLs”) for those waters, and impose point and non-point source limitations designed to bring the waters into compliance.</w:t>
      </w:r>
      <w:r w:rsidRPr="00FE396A">
        <w:rPr>
          <w:rStyle w:val="normaltextrun"/>
          <w:rFonts w:cs="Calibri"/>
          <w:color w:val="000000"/>
          <w:szCs w:val="20"/>
          <w:bdr w:val="none" w:sz="0" w:space="0" w:color="auto" w:frame="1"/>
        </w:rPr>
        <w:t xml:space="preserve"> </w:t>
      </w:r>
      <w:bookmarkStart w:id="84" w:name="_Toc535908104"/>
      <w:bookmarkStart w:id="85" w:name="_Toc94197922"/>
    </w:p>
    <w:p w14:paraId="2F713D3B" w14:textId="5923F1C7" w:rsidR="00112452" w:rsidRPr="00DA238A" w:rsidRDefault="00B258F6" w:rsidP="00FE396A">
      <w:pPr>
        <w:pStyle w:val="Heading3noTOC"/>
      </w:pPr>
      <w:bookmarkStart w:id="86" w:name="_Toc130201023"/>
      <w:r>
        <w:t>Other</w:t>
      </w:r>
      <w:r w:rsidR="00112452" w:rsidRPr="5E83B6B0">
        <w:t xml:space="preserve"> Generating Units</w:t>
      </w:r>
      <w:bookmarkEnd w:id="86"/>
    </w:p>
    <w:p w14:paraId="5A086AAD" w14:textId="30D5FB96" w:rsidR="00CD193C" w:rsidRDefault="00B258F6" w:rsidP="00643E99">
      <w:pPr>
        <w:rPr>
          <w:rFonts w:asciiTheme="majorHAnsi" w:eastAsia="Arial" w:hAnsiTheme="majorHAnsi" w:cstheme="majorBidi"/>
          <w:b/>
          <w:bCs/>
          <w:color w:val="1F3864" w:themeColor="accent1" w:themeShade="80"/>
          <w:sz w:val="32"/>
          <w:szCs w:val="32"/>
        </w:rPr>
      </w:pPr>
      <w:r>
        <w:t>Other types of generating units</w:t>
      </w:r>
      <w:r w:rsidR="00C63B00">
        <w:t>, such as</w:t>
      </w:r>
      <w:r w:rsidR="00831315">
        <w:t xml:space="preserve"> hydroelectric</w:t>
      </w:r>
      <w:r w:rsidR="00C63B00">
        <w:t xml:space="preserve">, </w:t>
      </w:r>
      <w:r w:rsidR="00831315">
        <w:t>nuclear</w:t>
      </w:r>
      <w:r w:rsidR="00C63B00">
        <w:t xml:space="preserve">, </w:t>
      </w:r>
      <w:r w:rsidR="009D387A">
        <w:t xml:space="preserve">renewables, </w:t>
      </w:r>
      <w:r w:rsidR="00D00295">
        <w:t xml:space="preserve">battery energy storage systems, </w:t>
      </w:r>
      <w:r w:rsidR="00C63B00">
        <w:t>and distributed energy resources (such as reciprocating internal combustion engines)</w:t>
      </w:r>
      <w:r w:rsidR="00831315">
        <w:t xml:space="preserve"> also comply with various environmental requirements </w:t>
      </w:r>
      <w:r w:rsidR="000F79C3">
        <w:t>set by EPA and Georgia EPD</w:t>
      </w:r>
      <w:r w:rsidR="00AC7961">
        <w:t xml:space="preserve"> related to siting, construction, and/or operation</w:t>
      </w:r>
      <w:r w:rsidR="001B5573">
        <w:t>. Hydro and nuclear facilities</w:t>
      </w:r>
      <w:r w:rsidR="00831315">
        <w:t xml:space="preserve"> </w:t>
      </w:r>
      <w:r w:rsidR="000F79C3">
        <w:t>also</w:t>
      </w:r>
      <w:r w:rsidR="00831315">
        <w:t xml:space="preserve"> consider environmental impacts </w:t>
      </w:r>
      <w:r w:rsidR="00831315">
        <w:lastRenderedPageBreak/>
        <w:t>through regulatory processes at the Federal Energy Regulatory Commission (“FERC”)</w:t>
      </w:r>
      <w:r w:rsidR="000F79C3">
        <w:t xml:space="preserve"> or</w:t>
      </w:r>
      <w:r w:rsidR="00831315">
        <w:t xml:space="preserve"> the Nuclear Regulatory Commission (“NRC”)</w:t>
      </w:r>
      <w:r w:rsidR="000F79C3">
        <w:t>.</w:t>
      </w:r>
      <w:r w:rsidR="00831315">
        <w:t xml:space="preserve"> </w:t>
      </w:r>
      <w:r w:rsidR="00831315" w:rsidRPr="5E83B6B0">
        <w:rPr>
          <w:rFonts w:eastAsia="Arial"/>
          <w:b/>
          <w:bCs/>
          <w:sz w:val="32"/>
          <w:szCs w:val="32"/>
        </w:rPr>
        <w:br w:type="page"/>
      </w:r>
    </w:p>
    <w:p w14:paraId="74DCD193" w14:textId="3B44D0BB" w:rsidR="000D33E9" w:rsidRPr="00FE396A" w:rsidRDefault="00F77C78" w:rsidP="00FE396A">
      <w:pPr>
        <w:pStyle w:val="Heading1"/>
      </w:pPr>
      <w:bookmarkStart w:id="87" w:name="_Toc188252331"/>
      <w:r w:rsidRPr="00FE396A">
        <w:lastRenderedPageBreak/>
        <w:t>ECS - Appendix B – Acronyms/Abbreviations</w:t>
      </w:r>
      <w:bookmarkEnd w:id="84"/>
      <w:bookmarkEnd w:id="85"/>
      <w:bookmarkEnd w:id="87"/>
    </w:p>
    <w:p w14:paraId="7452DA7D" w14:textId="57CCCE26" w:rsidR="00F77C78" w:rsidRDefault="00F77C78" w:rsidP="002D3EF7">
      <w:pPr>
        <w:spacing w:after="120"/>
      </w:pPr>
      <w:r>
        <w:t>ABUC</w:t>
      </w:r>
      <w:r>
        <w:tab/>
      </w:r>
      <w:r>
        <w:tab/>
        <w:t>Ash Beneficial Use Center</w:t>
      </w:r>
    </w:p>
    <w:p w14:paraId="2994E5F9" w14:textId="1C213D31" w:rsidR="00F77C78" w:rsidRDefault="00F77C78" w:rsidP="002D3EF7">
      <w:pPr>
        <w:spacing w:after="120"/>
      </w:pPr>
      <w:r>
        <w:t>ACE</w:t>
      </w:r>
      <w:r>
        <w:tab/>
      </w:r>
      <w:r>
        <w:tab/>
        <w:t xml:space="preserve">Affordable Clean Energy </w:t>
      </w:r>
    </w:p>
    <w:p w14:paraId="5847B52A" w14:textId="5C7E1CA7" w:rsidR="00F77C78" w:rsidRDefault="00F77C78" w:rsidP="002D3EF7">
      <w:pPr>
        <w:spacing w:after="120"/>
      </w:pPr>
      <w:r>
        <w:t>ACI</w:t>
      </w:r>
      <w:r>
        <w:tab/>
      </w:r>
      <w:r>
        <w:tab/>
        <w:t>Activated Carbon Injection</w:t>
      </w:r>
    </w:p>
    <w:p w14:paraId="17DAF771" w14:textId="26E2C5A5" w:rsidR="00F77C78" w:rsidRDefault="00F77C78" w:rsidP="002D3EF7">
      <w:pPr>
        <w:spacing w:after="120"/>
      </w:pPr>
      <w:r>
        <w:t>ACM</w:t>
      </w:r>
      <w:r>
        <w:tab/>
      </w:r>
      <w:r>
        <w:tab/>
        <w:t>Advanced Closure Methods</w:t>
      </w:r>
    </w:p>
    <w:p w14:paraId="1EE40129" w14:textId="054C8FAA" w:rsidR="00E90FD0" w:rsidRDefault="00E90FD0" w:rsidP="002D3EF7">
      <w:pPr>
        <w:spacing w:after="120"/>
      </w:pPr>
      <w:r>
        <w:t>ADEM</w:t>
      </w:r>
      <w:r>
        <w:tab/>
      </w:r>
      <w:r>
        <w:tab/>
        <w:t>Alabama Department of Environmental Management</w:t>
      </w:r>
    </w:p>
    <w:p w14:paraId="09207FBC" w14:textId="72FE3FD7" w:rsidR="00F77C78" w:rsidRDefault="00F77C78" w:rsidP="002D3EF7">
      <w:pPr>
        <w:spacing w:after="120"/>
      </w:pPr>
      <w:r>
        <w:t>ALK</w:t>
      </w:r>
      <w:r>
        <w:tab/>
      </w:r>
      <w:r>
        <w:tab/>
        <w:t>Alkali Sorbent Injection</w:t>
      </w:r>
    </w:p>
    <w:p w14:paraId="1DE31D28" w14:textId="3E74E2D7" w:rsidR="00F77C78" w:rsidRDefault="00F77C78" w:rsidP="002D3EF7">
      <w:pPr>
        <w:spacing w:after="120"/>
      </w:pPr>
      <w:r>
        <w:t>ARO</w:t>
      </w:r>
      <w:r>
        <w:tab/>
      </w:r>
      <w:r>
        <w:tab/>
        <w:t xml:space="preserve">Asset Retirement Obligation </w:t>
      </w:r>
    </w:p>
    <w:p w14:paraId="01D2C14D" w14:textId="63028556" w:rsidR="00F77C78" w:rsidRDefault="00F77C78" w:rsidP="002D3EF7">
      <w:pPr>
        <w:spacing w:after="120"/>
      </w:pPr>
      <w:r>
        <w:t>ASC</w:t>
      </w:r>
      <w:r>
        <w:tab/>
      </w:r>
      <w:r>
        <w:tab/>
        <w:t>Accounting Standards Codification</w:t>
      </w:r>
    </w:p>
    <w:p w14:paraId="4A071403" w14:textId="79DE7484" w:rsidR="00CB73AE" w:rsidRDefault="00CB73AE" w:rsidP="002D3EF7">
      <w:pPr>
        <w:spacing w:after="120"/>
      </w:pPr>
      <w:r>
        <w:t>BART</w:t>
      </w:r>
      <w:r>
        <w:tab/>
      </w:r>
      <w:r>
        <w:tab/>
      </w:r>
      <w:r w:rsidR="001E02CF">
        <w:t>Best Available Retrofit Technology</w:t>
      </w:r>
    </w:p>
    <w:p w14:paraId="52443DFD" w14:textId="312A979C" w:rsidR="001F5DC9" w:rsidRDefault="001F5DC9" w:rsidP="002D3EF7">
      <w:pPr>
        <w:spacing w:after="120"/>
      </w:pPr>
      <w:r>
        <w:t>BH</w:t>
      </w:r>
      <w:r>
        <w:tab/>
      </w:r>
      <w:r>
        <w:tab/>
        <w:t>Baghouse</w:t>
      </w:r>
    </w:p>
    <w:p w14:paraId="5CD54795" w14:textId="22E540EB" w:rsidR="000C5006" w:rsidRDefault="000C5006" w:rsidP="002D3EF7">
      <w:pPr>
        <w:spacing w:after="120"/>
      </w:pPr>
      <w:r>
        <w:t>BPJ</w:t>
      </w:r>
      <w:r>
        <w:tab/>
      </w:r>
      <w:r>
        <w:tab/>
      </w:r>
      <w:r w:rsidRPr="00B83622">
        <w:rPr>
          <w:rFonts w:eastAsia="Arial" w:cs="Arial"/>
          <w:color w:val="000000" w:themeColor="text1"/>
        </w:rPr>
        <w:t>B</w:t>
      </w:r>
      <w:r>
        <w:rPr>
          <w:rFonts w:eastAsia="Arial" w:cs="Arial"/>
          <w:color w:val="000000" w:themeColor="text1"/>
        </w:rPr>
        <w:t xml:space="preserve">est Professional </w:t>
      </w:r>
      <w:r w:rsidRPr="00B83622">
        <w:rPr>
          <w:rFonts w:eastAsia="Arial" w:cs="Arial"/>
          <w:color w:val="000000" w:themeColor="text1"/>
        </w:rPr>
        <w:t>J</w:t>
      </w:r>
      <w:r>
        <w:rPr>
          <w:rFonts w:eastAsia="Arial" w:cs="Arial"/>
          <w:color w:val="000000" w:themeColor="text1"/>
        </w:rPr>
        <w:t>udgment</w:t>
      </w:r>
    </w:p>
    <w:p w14:paraId="00586EEC" w14:textId="4F7E1425" w:rsidR="0079769C" w:rsidRDefault="0079769C" w:rsidP="002D3EF7">
      <w:pPr>
        <w:spacing w:after="120"/>
      </w:pPr>
      <w:r>
        <w:t>BTA</w:t>
      </w:r>
      <w:r>
        <w:tab/>
      </w:r>
      <w:r>
        <w:tab/>
      </w:r>
      <w:r w:rsidRPr="009759F8">
        <w:t>Best Technology Available</w:t>
      </w:r>
    </w:p>
    <w:p w14:paraId="59796ACF" w14:textId="1FB8671C" w:rsidR="00F77C78" w:rsidRDefault="00F77C78" w:rsidP="002D3EF7">
      <w:pPr>
        <w:spacing w:after="120"/>
      </w:pPr>
      <w:r>
        <w:t>CAA</w:t>
      </w:r>
      <w:r>
        <w:tab/>
      </w:r>
      <w:r>
        <w:tab/>
        <w:t>Clean Air Act</w:t>
      </w:r>
    </w:p>
    <w:p w14:paraId="44D81BBA" w14:textId="5169A608" w:rsidR="00F77C78" w:rsidRDefault="00F77C78" w:rsidP="002D3EF7">
      <w:pPr>
        <w:spacing w:after="120"/>
      </w:pPr>
      <w:r>
        <w:t>CAIR</w:t>
      </w:r>
      <w:r>
        <w:tab/>
      </w:r>
      <w:r>
        <w:tab/>
        <w:t>Clean Air Interstate Rule</w:t>
      </w:r>
    </w:p>
    <w:p w14:paraId="609FF6FF" w14:textId="71CDC07D" w:rsidR="00644C28" w:rsidRDefault="00644C28" w:rsidP="002D3EF7">
      <w:pPr>
        <w:spacing w:after="120"/>
      </w:pPr>
      <w:r>
        <w:t>CASAC</w:t>
      </w:r>
      <w:r>
        <w:tab/>
      </w:r>
      <w:r>
        <w:tab/>
        <w:t>C</w:t>
      </w:r>
      <w:r w:rsidRPr="00F53D92">
        <w:t>lean Air Scientific Advisory Committee</w:t>
      </w:r>
    </w:p>
    <w:p w14:paraId="428F9A9A" w14:textId="1A3AE640" w:rsidR="00F77C78" w:rsidRDefault="00F77C78" w:rsidP="002D3EF7">
      <w:pPr>
        <w:spacing w:after="120"/>
      </w:pPr>
      <w:r>
        <w:t>CCR</w:t>
      </w:r>
      <w:r>
        <w:tab/>
      </w:r>
      <w:r>
        <w:tab/>
        <w:t>Coal Combustion Residuals</w:t>
      </w:r>
    </w:p>
    <w:p w14:paraId="2FD17624" w14:textId="709B8442" w:rsidR="007203A8" w:rsidRDefault="007203A8" w:rsidP="002D3EF7">
      <w:pPr>
        <w:spacing w:after="120"/>
      </w:pPr>
      <w:r>
        <w:t>CCRMU</w:t>
      </w:r>
      <w:r>
        <w:tab/>
        <w:t>Coal Combustion Residuals Management Unit</w:t>
      </w:r>
    </w:p>
    <w:p w14:paraId="77D9AED2" w14:textId="6C706B4E" w:rsidR="00F77C78" w:rsidRDefault="00F77C78" w:rsidP="002D3EF7">
      <w:pPr>
        <w:spacing w:after="120"/>
      </w:pPr>
      <w:r>
        <w:t>CCS</w:t>
      </w:r>
      <w:r>
        <w:tab/>
      </w:r>
      <w:r>
        <w:tab/>
        <w:t xml:space="preserve">Carbon Capture &amp; </w:t>
      </w:r>
      <w:r w:rsidR="00CE3AD2">
        <w:t>Storage</w:t>
      </w:r>
    </w:p>
    <w:p w14:paraId="33F89ACC" w14:textId="1F8C0F24" w:rsidR="00F77C78" w:rsidRDefault="000F3678" w:rsidP="002D3EF7">
      <w:pPr>
        <w:spacing w:after="120"/>
      </w:pPr>
      <w:r>
        <w:t>CEQ</w:t>
      </w:r>
      <w:r>
        <w:tab/>
      </w:r>
      <w:r>
        <w:tab/>
        <w:t>Council on Environmental Quality</w:t>
      </w:r>
    </w:p>
    <w:p w14:paraId="273DBEBF" w14:textId="39462165" w:rsidR="001735E7" w:rsidRDefault="001735E7" w:rsidP="002D3EF7">
      <w:pPr>
        <w:spacing w:after="120"/>
      </w:pPr>
      <w:r>
        <w:rPr>
          <w:rStyle w:val="normaltextrun"/>
          <w:rFonts w:cs="Calibri"/>
          <w:color w:val="000000"/>
          <w:szCs w:val="20"/>
          <w:bdr w:val="none" w:sz="0" w:space="0" w:color="auto" w:frame="1"/>
        </w:rPr>
        <w:t>CERCLA</w:t>
      </w:r>
      <w:r>
        <w:rPr>
          <w:rStyle w:val="normaltextrun"/>
          <w:rFonts w:cs="Calibri"/>
          <w:color w:val="000000"/>
          <w:szCs w:val="20"/>
          <w:bdr w:val="none" w:sz="0" w:space="0" w:color="auto" w:frame="1"/>
        </w:rPr>
        <w:tab/>
      </w:r>
      <w:r w:rsidRPr="00060673">
        <w:rPr>
          <w:rFonts w:cs="Calibri"/>
          <w:color w:val="000000"/>
          <w:szCs w:val="20"/>
          <w:bdr w:val="none" w:sz="0" w:space="0" w:color="auto" w:frame="1"/>
        </w:rPr>
        <w:t>Comprehensive Environmental Response, Compensation and Liability Act</w:t>
      </w:r>
    </w:p>
    <w:p w14:paraId="27AB1CBF" w14:textId="4B62C574" w:rsidR="00F77C78" w:rsidRDefault="00F77C78" w:rsidP="002D3EF7">
      <w:pPr>
        <w:spacing w:after="120"/>
      </w:pPr>
      <w:r>
        <w:t>CFR</w:t>
      </w:r>
      <w:r>
        <w:tab/>
      </w:r>
      <w:r>
        <w:tab/>
        <w:t>Code of Federal Regulations</w:t>
      </w:r>
    </w:p>
    <w:p w14:paraId="407692A2" w14:textId="284033A8" w:rsidR="004D5928" w:rsidRDefault="004D5928" w:rsidP="002D3EF7">
      <w:pPr>
        <w:spacing w:after="120"/>
      </w:pPr>
      <w:r>
        <w:t>CI ICE</w:t>
      </w:r>
      <w:r>
        <w:tab/>
      </w:r>
      <w:r>
        <w:tab/>
      </w:r>
      <w:r w:rsidRPr="00060673">
        <w:rPr>
          <w:rFonts w:cs="Calibri"/>
          <w:color w:val="000000"/>
          <w:bdr w:val="none" w:sz="0" w:space="0" w:color="auto" w:frame="1"/>
        </w:rPr>
        <w:t>Stationary Compression Ignition Internal Combustion Engines</w:t>
      </w:r>
    </w:p>
    <w:p w14:paraId="02E64C43" w14:textId="7DABBCCA" w:rsidR="00F77C78" w:rsidRDefault="00F77C78" w:rsidP="002D3EF7">
      <w:pPr>
        <w:spacing w:after="120"/>
      </w:pPr>
      <w:r>
        <w:t>CO</w:t>
      </w:r>
      <w:r>
        <w:tab/>
      </w:r>
      <w:r>
        <w:tab/>
        <w:t>Carbon Monoxide</w:t>
      </w:r>
    </w:p>
    <w:p w14:paraId="5808686D" w14:textId="2F6DA387" w:rsidR="00F77C78" w:rsidRDefault="00F77C78" w:rsidP="002D3EF7">
      <w:pPr>
        <w:spacing w:after="120"/>
      </w:pPr>
      <w:r>
        <w:t>CO</w:t>
      </w:r>
      <w:r w:rsidRPr="00E36FE4">
        <w:rPr>
          <w:vertAlign w:val="subscript"/>
        </w:rPr>
        <w:t>2</w:t>
      </w:r>
      <w:r>
        <w:tab/>
      </w:r>
      <w:r>
        <w:tab/>
        <w:t>Carbon Dioxide</w:t>
      </w:r>
    </w:p>
    <w:p w14:paraId="36441EA8" w14:textId="77777777" w:rsidR="00F77C78" w:rsidRDefault="00F77C78" w:rsidP="002D3EF7">
      <w:pPr>
        <w:spacing w:after="120"/>
      </w:pPr>
      <w:r>
        <w:t>COHPAC</w:t>
      </w:r>
      <w:r>
        <w:tab/>
        <w:t>Compact Hybrid Particulate Collector</w:t>
      </w:r>
    </w:p>
    <w:p w14:paraId="60DDC2B6" w14:textId="75AE3872" w:rsidR="00F77C78" w:rsidRDefault="00F77C78" w:rsidP="002D3EF7">
      <w:pPr>
        <w:spacing w:after="120"/>
      </w:pPr>
      <w:r>
        <w:t>COP</w:t>
      </w:r>
      <w:r>
        <w:tab/>
      </w:r>
      <w:r>
        <w:tab/>
        <w:t>Conference of Parties</w:t>
      </w:r>
    </w:p>
    <w:p w14:paraId="27B920DF" w14:textId="3DF9D317" w:rsidR="00A34031" w:rsidRDefault="00A34031" w:rsidP="002D3EF7">
      <w:pPr>
        <w:spacing w:after="120"/>
      </w:pPr>
      <w:r>
        <w:t>CORE-CM</w:t>
      </w:r>
      <w:r>
        <w:tab/>
      </w:r>
      <w:r>
        <w:rPr>
          <w:rFonts w:cs="Arial"/>
          <w:color w:val="171717" w:themeColor="background2" w:themeShade="1A"/>
        </w:rPr>
        <w:t>DOE’s</w:t>
      </w:r>
      <w:r w:rsidRPr="00CA2841">
        <w:rPr>
          <w:rFonts w:cs="Arial"/>
          <w:color w:val="171717" w:themeColor="background2" w:themeShade="1A"/>
        </w:rPr>
        <w:t xml:space="preserve"> Carbon Ore, Rare Earths and Critical Mineral</w:t>
      </w:r>
      <w:r w:rsidR="00446DEA">
        <w:rPr>
          <w:rFonts w:cs="Arial"/>
          <w:color w:val="171717" w:themeColor="background2" w:themeShade="1A"/>
        </w:rPr>
        <w:t xml:space="preserve"> Initiative</w:t>
      </w:r>
    </w:p>
    <w:p w14:paraId="71DE0613" w14:textId="7264FFE0" w:rsidR="009912E7" w:rsidRDefault="009912E7" w:rsidP="002D3EF7">
      <w:pPr>
        <w:spacing w:after="120"/>
      </w:pPr>
      <w:r>
        <w:t>CMA</w:t>
      </w:r>
      <w:r>
        <w:tab/>
      </w:r>
      <w:r>
        <w:tab/>
        <w:t>Meeting of Parties to the Paris Agreement</w:t>
      </w:r>
    </w:p>
    <w:p w14:paraId="76E621ED" w14:textId="6850767A" w:rsidR="00F77C78" w:rsidRDefault="00F77C78" w:rsidP="002D3EF7">
      <w:pPr>
        <w:spacing w:after="120"/>
      </w:pPr>
      <w:r>
        <w:t>CMP</w:t>
      </w:r>
      <w:r>
        <w:tab/>
      </w:r>
      <w:r>
        <w:tab/>
        <w:t>Meeting of the Parties to the Kyoto Protocol</w:t>
      </w:r>
    </w:p>
    <w:p w14:paraId="0BAE6324" w14:textId="1264CB01" w:rsidR="00F77C78" w:rsidRDefault="00F77C78" w:rsidP="002D3EF7">
      <w:pPr>
        <w:spacing w:after="120"/>
      </w:pPr>
      <w:r>
        <w:t>CPP</w:t>
      </w:r>
      <w:r>
        <w:tab/>
      </w:r>
      <w:r>
        <w:tab/>
        <w:t>Clean Power Plan</w:t>
      </w:r>
    </w:p>
    <w:p w14:paraId="5A5C7C55" w14:textId="42D780EF" w:rsidR="004D1DEF" w:rsidRDefault="004D1DEF" w:rsidP="002D3EF7">
      <w:pPr>
        <w:spacing w:after="120"/>
      </w:pPr>
      <w:r>
        <w:lastRenderedPageBreak/>
        <w:t>CRL</w:t>
      </w:r>
      <w:r>
        <w:tab/>
      </w:r>
      <w:r>
        <w:tab/>
        <w:t>Combustion Residual Leachate</w:t>
      </w:r>
    </w:p>
    <w:p w14:paraId="6A9D715B" w14:textId="00F53770" w:rsidR="00F77C78" w:rsidRDefault="00F77C78" w:rsidP="002D3EF7">
      <w:pPr>
        <w:spacing w:after="120"/>
      </w:pPr>
      <w:r>
        <w:t>CSAPR</w:t>
      </w:r>
      <w:r>
        <w:tab/>
      </w:r>
      <w:r>
        <w:tab/>
        <w:t>Cross State Air Pollution Rule</w:t>
      </w:r>
    </w:p>
    <w:p w14:paraId="7D950252" w14:textId="5149D27E" w:rsidR="00C319B8" w:rsidRDefault="00C319B8" w:rsidP="002D3EF7">
      <w:pPr>
        <w:spacing w:after="120"/>
      </w:pPr>
      <w:r>
        <w:t>CT MACT</w:t>
      </w:r>
      <w:r>
        <w:tab/>
        <w:t>Combustion Turbine MACT</w:t>
      </w:r>
    </w:p>
    <w:p w14:paraId="1E40BE38" w14:textId="16AD7E01" w:rsidR="0079769C" w:rsidRDefault="00F77C78" w:rsidP="002D3EF7">
      <w:pPr>
        <w:spacing w:after="120"/>
      </w:pPr>
      <w:r>
        <w:t>CWA</w:t>
      </w:r>
      <w:r>
        <w:tab/>
      </w:r>
      <w:r>
        <w:tab/>
        <w:t>Clean Water Act</w:t>
      </w:r>
      <w:r w:rsidR="0079769C">
        <w:tab/>
      </w:r>
      <w:r w:rsidR="0079769C">
        <w:tab/>
      </w:r>
    </w:p>
    <w:p w14:paraId="52F78476" w14:textId="299A4F15" w:rsidR="003D6F79" w:rsidRDefault="003D6F79" w:rsidP="002D3EF7">
      <w:pPr>
        <w:spacing w:after="120"/>
      </w:pPr>
      <w:r>
        <w:t>CWWS</w:t>
      </w:r>
      <w:r>
        <w:tab/>
      </w:r>
      <w:r>
        <w:tab/>
      </w:r>
      <w:r w:rsidRPr="00DB7156">
        <w:t>Cylindrical Wedge Wire Screens</w:t>
      </w:r>
    </w:p>
    <w:p w14:paraId="10ED7AE8" w14:textId="5FF8D2B5" w:rsidR="009D29B2" w:rsidRDefault="009D29B2" w:rsidP="002D3EF7">
      <w:pPr>
        <w:spacing w:after="120"/>
      </w:pPr>
      <w:r>
        <w:t>DAC</w:t>
      </w:r>
      <w:r>
        <w:tab/>
      </w:r>
      <w:r>
        <w:tab/>
        <w:t>Direct Air Capture</w:t>
      </w:r>
    </w:p>
    <w:p w14:paraId="10F0C610" w14:textId="4CB32DB6" w:rsidR="00F77C78" w:rsidRDefault="00F77C78" w:rsidP="002D3EF7">
      <w:pPr>
        <w:spacing w:after="120"/>
      </w:pPr>
      <w:r>
        <w:t>DNR</w:t>
      </w:r>
      <w:r>
        <w:tab/>
      </w:r>
      <w:r>
        <w:tab/>
        <w:t>Department of Natural Resources</w:t>
      </w:r>
    </w:p>
    <w:p w14:paraId="78385FE5" w14:textId="1DA8FD8C" w:rsidR="00F77C78" w:rsidRDefault="00F77C78" w:rsidP="002D3EF7">
      <w:pPr>
        <w:spacing w:after="120"/>
      </w:pPr>
      <w:r>
        <w:t>DOE</w:t>
      </w:r>
      <w:r>
        <w:tab/>
      </w:r>
      <w:r>
        <w:tab/>
        <w:t>Department of Energy</w:t>
      </w:r>
    </w:p>
    <w:p w14:paraId="62C98EAE" w14:textId="3F6DAFBA" w:rsidR="00F77C78" w:rsidRDefault="00F77C78" w:rsidP="002D3EF7">
      <w:pPr>
        <w:spacing w:after="120"/>
      </w:pPr>
      <w:r>
        <w:t>DSI</w:t>
      </w:r>
      <w:r>
        <w:tab/>
      </w:r>
      <w:r>
        <w:tab/>
        <w:t>Dry Sorbent Injection</w:t>
      </w:r>
    </w:p>
    <w:p w14:paraId="132ED097" w14:textId="37933178" w:rsidR="00F77C78" w:rsidRDefault="00F77C78" w:rsidP="002D3EF7">
      <w:pPr>
        <w:spacing w:after="120"/>
      </w:pPr>
      <w:r>
        <w:t>ECCR</w:t>
      </w:r>
      <w:r>
        <w:tab/>
      </w:r>
      <w:r>
        <w:tab/>
        <w:t>Environmental Compliance Cost Recovery</w:t>
      </w:r>
    </w:p>
    <w:p w14:paraId="0733A5F9" w14:textId="50688905" w:rsidR="00F77C78" w:rsidRDefault="00F77C78" w:rsidP="002D3EF7">
      <w:pPr>
        <w:spacing w:after="120"/>
      </w:pPr>
      <w:r>
        <w:t>ECS</w:t>
      </w:r>
      <w:r>
        <w:tab/>
      </w:r>
      <w:r>
        <w:tab/>
        <w:t xml:space="preserve">Environmental Compliance Strategy </w:t>
      </w:r>
    </w:p>
    <w:p w14:paraId="194438C9" w14:textId="4FEE1A88" w:rsidR="007C4EB3" w:rsidRDefault="007C4EB3" w:rsidP="002D3EF7">
      <w:pPr>
        <w:spacing w:after="120"/>
      </w:pPr>
      <w:r>
        <w:t>EGU</w:t>
      </w:r>
      <w:r w:rsidR="003138C0">
        <w:tab/>
      </w:r>
      <w:r w:rsidR="003138C0">
        <w:tab/>
        <w:t>Electric Generating Unit</w:t>
      </w:r>
    </w:p>
    <w:p w14:paraId="4BE64B6C" w14:textId="13BC130D" w:rsidR="00D24B46" w:rsidRDefault="00D24B46" w:rsidP="002D3EF7">
      <w:pPr>
        <w:spacing w:after="120"/>
      </w:pPr>
      <w:r>
        <w:t>EKPC</w:t>
      </w:r>
      <w:r>
        <w:tab/>
      </w:r>
      <w:r>
        <w:tab/>
      </w:r>
      <w:r w:rsidRPr="009E076E">
        <w:t>East Kentucky Power Cooperative</w:t>
      </w:r>
    </w:p>
    <w:p w14:paraId="4E9F8605" w14:textId="72B2AEBC" w:rsidR="00F77C78" w:rsidRDefault="00F77C78" w:rsidP="002D3EF7">
      <w:pPr>
        <w:spacing w:after="120"/>
      </w:pPr>
      <w:r>
        <w:t>ELG</w:t>
      </w:r>
      <w:r>
        <w:tab/>
      </w:r>
      <w:r>
        <w:tab/>
        <w:t>Effluent Limitations Guidelines</w:t>
      </w:r>
    </w:p>
    <w:p w14:paraId="773ACF3E" w14:textId="3CEE60E6" w:rsidR="00F77C78" w:rsidRDefault="00F77C78" w:rsidP="002D3EF7">
      <w:pPr>
        <w:spacing w:after="120"/>
      </w:pPr>
      <w:r>
        <w:t>EPA</w:t>
      </w:r>
      <w:r>
        <w:tab/>
      </w:r>
      <w:r>
        <w:tab/>
        <w:t>U.S. Environmental Protection Agency</w:t>
      </w:r>
    </w:p>
    <w:p w14:paraId="393D45E7" w14:textId="43668251" w:rsidR="00F77C78" w:rsidRDefault="00F77C78" w:rsidP="002D3EF7">
      <w:pPr>
        <w:spacing w:after="120"/>
      </w:pPr>
      <w:r>
        <w:t>EPD</w:t>
      </w:r>
      <w:r>
        <w:tab/>
      </w:r>
      <w:r>
        <w:tab/>
        <w:t>Georgia Environmental Protection Division</w:t>
      </w:r>
    </w:p>
    <w:p w14:paraId="2E9CF1F8" w14:textId="38A22E4A" w:rsidR="00F77C78" w:rsidRDefault="00F77C78" w:rsidP="002D3EF7">
      <w:pPr>
        <w:spacing w:after="120"/>
      </w:pPr>
      <w:r>
        <w:t>EPRI</w:t>
      </w:r>
      <w:r>
        <w:tab/>
      </w:r>
      <w:r>
        <w:tab/>
        <w:t>Electric Power Research Institute</w:t>
      </w:r>
    </w:p>
    <w:p w14:paraId="2DF13E23" w14:textId="63453DE0" w:rsidR="00F77C78" w:rsidRDefault="00F77C78" w:rsidP="002D3EF7">
      <w:pPr>
        <w:spacing w:after="120"/>
      </w:pPr>
      <w:r>
        <w:t>ESA</w:t>
      </w:r>
      <w:r>
        <w:tab/>
      </w:r>
      <w:r>
        <w:tab/>
        <w:t>Endangered Species Act</w:t>
      </w:r>
    </w:p>
    <w:p w14:paraId="25BC5D3E" w14:textId="2714531B" w:rsidR="00B65150" w:rsidRDefault="00B65150" w:rsidP="002D3EF7">
      <w:pPr>
        <w:spacing w:after="120"/>
      </w:pPr>
      <w:r>
        <w:t>ESP</w:t>
      </w:r>
      <w:r>
        <w:tab/>
      </w:r>
      <w:r>
        <w:tab/>
        <w:t>Electrostatic Precipitator</w:t>
      </w:r>
    </w:p>
    <w:p w14:paraId="0D7A9606" w14:textId="6C807325" w:rsidR="00F77C78" w:rsidRDefault="00F77C78" w:rsidP="002D3EF7">
      <w:pPr>
        <w:spacing w:after="120"/>
      </w:pPr>
      <w:r>
        <w:t>FASB</w:t>
      </w:r>
      <w:r>
        <w:tab/>
      </w:r>
      <w:r>
        <w:tab/>
        <w:t>Financial Accounting Standards Board</w:t>
      </w:r>
    </w:p>
    <w:p w14:paraId="7F3E0203" w14:textId="0CF2B83D" w:rsidR="000F3678" w:rsidRDefault="000F3678" w:rsidP="002D3EF7">
      <w:pPr>
        <w:spacing w:after="120"/>
      </w:pPr>
      <w:r>
        <w:t>FERC</w:t>
      </w:r>
      <w:r>
        <w:tab/>
      </w:r>
      <w:r>
        <w:tab/>
        <w:t>Federal Energy Regulatory Commission</w:t>
      </w:r>
    </w:p>
    <w:p w14:paraId="732F20AF" w14:textId="5B2D9871" w:rsidR="00F77C78" w:rsidRDefault="00F77C78" w:rsidP="002D3EF7">
      <w:pPr>
        <w:spacing w:after="120"/>
      </w:pPr>
      <w:r>
        <w:t>FGD</w:t>
      </w:r>
      <w:r>
        <w:tab/>
      </w:r>
      <w:r>
        <w:tab/>
        <w:t>Flue Gas Desulfurization</w:t>
      </w:r>
    </w:p>
    <w:p w14:paraId="1C67895D" w14:textId="73835BDB" w:rsidR="00B65150" w:rsidRDefault="00B65150" w:rsidP="002D3EF7">
      <w:pPr>
        <w:spacing w:after="120"/>
      </w:pPr>
      <w:r>
        <w:t>FIP</w:t>
      </w:r>
      <w:r>
        <w:tab/>
      </w:r>
      <w:r>
        <w:tab/>
        <w:t>F</w:t>
      </w:r>
      <w:r w:rsidR="00D919DC">
        <w:t>ederal Implementation Plan</w:t>
      </w:r>
    </w:p>
    <w:p w14:paraId="1110EA67" w14:textId="1D9A23D1" w:rsidR="00032ADB" w:rsidRDefault="00032ADB" w:rsidP="002D3EF7">
      <w:pPr>
        <w:spacing w:after="120"/>
      </w:pPr>
      <w:proofErr w:type="spellStart"/>
      <w:r>
        <w:t>fPM</w:t>
      </w:r>
      <w:proofErr w:type="spellEnd"/>
      <w:r>
        <w:tab/>
      </w:r>
      <w:r>
        <w:tab/>
        <w:t>Filterable Particulate Matter</w:t>
      </w:r>
    </w:p>
    <w:p w14:paraId="046B889A" w14:textId="49CE7951" w:rsidR="005D3526" w:rsidRDefault="005D3526" w:rsidP="002D3EF7">
      <w:pPr>
        <w:spacing w:after="120"/>
      </w:pPr>
      <w:r>
        <w:t>FRP</w:t>
      </w:r>
      <w:r>
        <w:tab/>
      </w:r>
      <w:r>
        <w:tab/>
        <w:t>Facility Response Plan</w:t>
      </w:r>
    </w:p>
    <w:p w14:paraId="1C084F51" w14:textId="2AC28B6C" w:rsidR="001078DB" w:rsidRDefault="001078DB" w:rsidP="002D3EF7">
      <w:pPr>
        <w:spacing w:after="120"/>
      </w:pPr>
      <w:r>
        <w:t>GAAP</w:t>
      </w:r>
      <w:r>
        <w:tab/>
      </w:r>
      <w:r>
        <w:tab/>
        <w:t>Generally Accepted Accounting Principle</w:t>
      </w:r>
    </w:p>
    <w:p w14:paraId="7205D1AE" w14:textId="1B40B263" w:rsidR="00F77C78" w:rsidRDefault="00F77C78" w:rsidP="002D3EF7">
      <w:pPr>
        <w:spacing w:after="120"/>
      </w:pPr>
      <w:r>
        <w:t>GHG</w:t>
      </w:r>
      <w:r>
        <w:tab/>
      </w:r>
      <w:r>
        <w:tab/>
        <w:t>Greenhouse Gas</w:t>
      </w:r>
    </w:p>
    <w:p w14:paraId="3BA294B1" w14:textId="0891B3B4" w:rsidR="004C30B3" w:rsidRDefault="004C30B3" w:rsidP="002D3EF7">
      <w:pPr>
        <w:spacing w:after="120"/>
      </w:pPr>
      <w:r>
        <w:t>GPC</w:t>
      </w:r>
      <w:r>
        <w:tab/>
      </w:r>
      <w:r>
        <w:tab/>
        <w:t>Georgia Power Company</w:t>
      </w:r>
    </w:p>
    <w:p w14:paraId="3A3C554B" w14:textId="377BF1B0" w:rsidR="00E34D83" w:rsidRDefault="00E34D83" w:rsidP="002D3EF7">
      <w:pPr>
        <w:spacing w:after="120"/>
      </w:pPr>
      <w:r>
        <w:t>GPSC</w:t>
      </w:r>
      <w:r>
        <w:tab/>
      </w:r>
      <w:r>
        <w:tab/>
        <w:t>Georgia Public Service Commission</w:t>
      </w:r>
    </w:p>
    <w:p w14:paraId="58DC888F" w14:textId="5B327842" w:rsidR="009A6EF3" w:rsidRDefault="009A6EF3" w:rsidP="002D3EF7">
      <w:pPr>
        <w:spacing w:after="120"/>
      </w:pPr>
      <w:r>
        <w:t>GWPS</w:t>
      </w:r>
      <w:r>
        <w:tab/>
      </w:r>
      <w:r>
        <w:tab/>
        <w:t>Groundwater Protection Standard</w:t>
      </w:r>
    </w:p>
    <w:p w14:paraId="06FBA8E1" w14:textId="260CEC93" w:rsidR="00F77C78" w:rsidRDefault="00F77C78" w:rsidP="002D3EF7">
      <w:pPr>
        <w:spacing w:after="120"/>
      </w:pPr>
      <w:r>
        <w:t>HAP</w:t>
      </w:r>
      <w:r>
        <w:tab/>
      </w:r>
      <w:r>
        <w:tab/>
        <w:t>Hazardous Air Pollutant</w:t>
      </w:r>
    </w:p>
    <w:p w14:paraId="2FE78B6C" w14:textId="2B6884BE" w:rsidR="003C6204" w:rsidRDefault="003C6204" w:rsidP="002D3EF7">
      <w:pPr>
        <w:spacing w:after="120"/>
      </w:pPr>
      <w:r>
        <w:lastRenderedPageBreak/>
        <w:t>HCl</w:t>
      </w:r>
      <w:r>
        <w:tab/>
      </w:r>
      <w:r>
        <w:tab/>
        <w:t>Hydrogen Chlorine</w:t>
      </w:r>
    </w:p>
    <w:p w14:paraId="7BD20967" w14:textId="7B100047" w:rsidR="00F77C78" w:rsidRDefault="00F77C78" w:rsidP="002D3EF7">
      <w:pPr>
        <w:spacing w:after="120"/>
      </w:pPr>
      <w:r>
        <w:t>HDPE</w:t>
      </w:r>
      <w:r>
        <w:tab/>
      </w:r>
      <w:r>
        <w:tab/>
        <w:t>High-Density Polyethylene</w:t>
      </w:r>
    </w:p>
    <w:p w14:paraId="2A02E638" w14:textId="02799064" w:rsidR="00F77C78" w:rsidRDefault="00F77C78" w:rsidP="002D3EF7">
      <w:pPr>
        <w:spacing w:after="120"/>
      </w:pPr>
      <w:r>
        <w:t>HFC</w:t>
      </w:r>
      <w:r>
        <w:tab/>
      </w:r>
      <w:r>
        <w:tab/>
        <w:t>Hydrofluorocarbon</w:t>
      </w:r>
    </w:p>
    <w:p w14:paraId="532DD795" w14:textId="0E8D2F7C" w:rsidR="00F77C78" w:rsidRDefault="00F77C78" w:rsidP="002D3EF7">
      <w:pPr>
        <w:spacing w:after="120"/>
      </w:pPr>
      <w:r>
        <w:t>HLRW</w:t>
      </w:r>
      <w:r>
        <w:tab/>
      </w:r>
      <w:r>
        <w:tab/>
        <w:t>High-Level Radioactive Waste</w:t>
      </w:r>
    </w:p>
    <w:p w14:paraId="3F7FC258" w14:textId="383D75C5" w:rsidR="00F77C78" w:rsidRDefault="00F77C78" w:rsidP="002D3EF7">
      <w:pPr>
        <w:spacing w:after="120"/>
      </w:pPr>
      <w:r>
        <w:t>HTL</w:t>
      </w:r>
      <w:r>
        <w:tab/>
      </w:r>
      <w:r>
        <w:tab/>
        <w:t>Heat Transfer Loop</w:t>
      </w:r>
    </w:p>
    <w:p w14:paraId="05F6ED46" w14:textId="580AD7AB" w:rsidR="0080037A" w:rsidRDefault="0080037A" w:rsidP="002D3EF7">
      <w:pPr>
        <w:spacing w:after="120"/>
      </w:pPr>
      <w:r>
        <w:t>ICR</w:t>
      </w:r>
      <w:r>
        <w:tab/>
      </w:r>
      <w:r>
        <w:tab/>
        <w:t>Information Collection Request</w:t>
      </w:r>
    </w:p>
    <w:p w14:paraId="6ADA8ACB" w14:textId="0787F60C" w:rsidR="00024821" w:rsidRDefault="00024821" w:rsidP="002D3EF7">
      <w:pPr>
        <w:spacing w:after="120"/>
      </w:pPr>
      <w:r>
        <w:t>IIJA</w:t>
      </w:r>
      <w:r>
        <w:tab/>
      </w:r>
      <w:r>
        <w:tab/>
        <w:t>Infrastructure Investment and Jobs Act</w:t>
      </w:r>
    </w:p>
    <w:p w14:paraId="06C3CD62" w14:textId="74C9554E" w:rsidR="00ED65C4" w:rsidRDefault="00ED65C4" w:rsidP="002D3EF7">
      <w:pPr>
        <w:spacing w:after="120"/>
      </w:pPr>
      <w:r>
        <w:t>IRA</w:t>
      </w:r>
      <w:r>
        <w:tab/>
      </w:r>
      <w:r>
        <w:tab/>
      </w:r>
      <w:r w:rsidRPr="00D03FC5">
        <w:t>Inflation Reduction Act</w:t>
      </w:r>
    </w:p>
    <w:p w14:paraId="3B63DAAD" w14:textId="0E2D9BEF" w:rsidR="00F77C78" w:rsidRDefault="00F77C78" w:rsidP="002D3EF7">
      <w:pPr>
        <w:spacing w:after="120"/>
      </w:pPr>
      <w:r>
        <w:t>IRP</w:t>
      </w:r>
      <w:r>
        <w:tab/>
      </w:r>
      <w:r>
        <w:tab/>
        <w:t>Integrated Resource Plan</w:t>
      </w:r>
    </w:p>
    <w:p w14:paraId="36CE8292" w14:textId="7558F9B8" w:rsidR="00F77C78" w:rsidRDefault="00F77C78" w:rsidP="002D3EF7">
      <w:pPr>
        <w:spacing w:after="120"/>
      </w:pPr>
      <w:r>
        <w:t>LLRW</w:t>
      </w:r>
      <w:r>
        <w:tab/>
      </w:r>
      <w:r>
        <w:tab/>
        <w:t>Low Level Radioactive Waste</w:t>
      </w:r>
    </w:p>
    <w:p w14:paraId="18EB2B5F" w14:textId="70DAD773" w:rsidR="00F77C78" w:rsidRDefault="00F77C78" w:rsidP="002D3EF7">
      <w:pPr>
        <w:spacing w:after="120"/>
      </w:pPr>
      <w:r>
        <w:t>LN</w:t>
      </w:r>
      <w:r w:rsidR="004B0DA0">
        <w:t xml:space="preserve">CS </w:t>
      </w:r>
      <w:r w:rsidR="004B0DA0">
        <w:tab/>
      </w:r>
      <w:r w:rsidR="004B0DA0">
        <w:tab/>
        <w:t>Low NOx Combustion System</w:t>
      </w:r>
    </w:p>
    <w:p w14:paraId="0C6E53C4" w14:textId="2DC4FCF6" w:rsidR="00F77C78" w:rsidRDefault="00F77C78" w:rsidP="002D3EF7">
      <w:pPr>
        <w:spacing w:after="120"/>
      </w:pPr>
      <w:r>
        <w:t>MACT</w:t>
      </w:r>
      <w:r>
        <w:tab/>
      </w:r>
      <w:r>
        <w:tab/>
        <w:t>Maximum Achievable Control Technology</w:t>
      </w:r>
    </w:p>
    <w:p w14:paraId="59133020" w14:textId="54A65C5F" w:rsidR="00F77C78" w:rsidRDefault="00F77C78" w:rsidP="002D3EF7">
      <w:pPr>
        <w:spacing w:after="120"/>
      </w:pPr>
      <w:r>
        <w:t>MATS</w:t>
      </w:r>
      <w:r>
        <w:tab/>
      </w:r>
      <w:r>
        <w:tab/>
        <w:t>Mercury and Air Toxics Standards</w:t>
      </w:r>
    </w:p>
    <w:p w14:paraId="2C84B032" w14:textId="5382EDC7" w:rsidR="00E15979" w:rsidRDefault="00E15979" w:rsidP="002D3EF7">
      <w:pPr>
        <w:spacing w:after="120"/>
      </w:pPr>
      <w:r>
        <w:t>MM2A</w:t>
      </w:r>
      <w:r w:rsidR="00C50E0C">
        <w:tab/>
      </w:r>
      <w:r w:rsidR="00C50E0C">
        <w:tab/>
      </w:r>
      <w:r w:rsidR="00C50E0C" w:rsidRPr="0855BE44">
        <w:t>Major MACT to Area</w:t>
      </w:r>
    </w:p>
    <w:p w14:paraId="7C3828DC" w14:textId="00A3F1ED" w:rsidR="00F77C78" w:rsidRDefault="00F77C78" w:rsidP="002D3EF7">
      <w:pPr>
        <w:spacing w:after="120"/>
      </w:pPr>
      <w:r>
        <w:t>MRCS</w:t>
      </w:r>
      <w:r>
        <w:tab/>
      </w:r>
      <w:r>
        <w:tab/>
        <w:t>Mercury Re-emission Control System</w:t>
      </w:r>
    </w:p>
    <w:p w14:paraId="181C5B9D" w14:textId="7511E31A" w:rsidR="00F77C78" w:rsidRDefault="00F77C78" w:rsidP="002D3EF7">
      <w:pPr>
        <w:spacing w:after="120"/>
      </w:pPr>
      <w:r>
        <w:t>NAAQS</w:t>
      </w:r>
      <w:r>
        <w:tab/>
      </w:r>
      <w:r w:rsidR="00797432">
        <w:tab/>
      </w:r>
      <w:r>
        <w:t>National Ambient Air Quality Standards</w:t>
      </w:r>
    </w:p>
    <w:p w14:paraId="7304A4F5" w14:textId="64E20E8A" w:rsidR="00CD60AF" w:rsidRDefault="00CD60AF" w:rsidP="002D3EF7">
      <w:pPr>
        <w:spacing w:after="120"/>
      </w:pPr>
      <w:r>
        <w:t>NCCC</w:t>
      </w:r>
      <w:r>
        <w:tab/>
      </w:r>
      <w:r>
        <w:tab/>
      </w:r>
      <w:r w:rsidRPr="00FE396A">
        <w:t>National Carbon Capture Center</w:t>
      </w:r>
    </w:p>
    <w:p w14:paraId="19D69E16" w14:textId="597EDD82" w:rsidR="00F77C78" w:rsidRDefault="00F77C78" w:rsidP="002D3EF7">
      <w:pPr>
        <w:spacing w:after="120"/>
      </w:pPr>
      <w:r>
        <w:t>NDC</w:t>
      </w:r>
      <w:r w:rsidR="00797432">
        <w:tab/>
      </w:r>
      <w:r>
        <w:tab/>
        <w:t>Nationally Determined Contribution</w:t>
      </w:r>
    </w:p>
    <w:p w14:paraId="6CEAEA08" w14:textId="757B4996" w:rsidR="00F77C78" w:rsidRDefault="00F77C78" w:rsidP="002D3EF7">
      <w:pPr>
        <w:spacing w:after="120"/>
      </w:pPr>
      <w:r>
        <w:t>NEPA</w:t>
      </w:r>
      <w:r w:rsidR="00797432">
        <w:tab/>
      </w:r>
      <w:r>
        <w:tab/>
        <w:t>National Environmental Policy Act</w:t>
      </w:r>
    </w:p>
    <w:p w14:paraId="12A374A5" w14:textId="77777777" w:rsidR="00F77C78" w:rsidRDefault="00F77C78" w:rsidP="002D3EF7">
      <w:pPr>
        <w:spacing w:after="120"/>
      </w:pPr>
      <w:r>
        <w:t>NESHAP</w:t>
      </w:r>
      <w:r>
        <w:tab/>
        <w:t>National Emission Standards for Hazardous Air Pollutants</w:t>
      </w:r>
    </w:p>
    <w:p w14:paraId="67028D7A" w14:textId="237EC3A7" w:rsidR="00153EEE" w:rsidRDefault="00153EEE" w:rsidP="002D3EF7">
      <w:pPr>
        <w:spacing w:after="120"/>
      </w:pPr>
      <w:r>
        <w:t>NGCC</w:t>
      </w:r>
      <w:r>
        <w:tab/>
      </w:r>
      <w:r>
        <w:tab/>
        <w:t>Natural Gas Combined Cycle</w:t>
      </w:r>
    </w:p>
    <w:p w14:paraId="48E1C350" w14:textId="646A8F26" w:rsidR="00F77C78" w:rsidRDefault="00F77C78" w:rsidP="002D3EF7">
      <w:pPr>
        <w:spacing w:after="120"/>
      </w:pPr>
      <w:r>
        <w:t>NOPP</w:t>
      </w:r>
      <w:r w:rsidR="00797432">
        <w:tab/>
      </w:r>
      <w:r>
        <w:tab/>
        <w:t>Notice of Planned Participation</w:t>
      </w:r>
    </w:p>
    <w:p w14:paraId="08C1AB1B" w14:textId="2332C627" w:rsidR="00F77C78" w:rsidRDefault="00F77C78" w:rsidP="002D3EF7">
      <w:pPr>
        <w:spacing w:after="120"/>
      </w:pPr>
      <w:r>
        <w:t>NO</w:t>
      </w:r>
      <w:r w:rsidRPr="007E6B4F">
        <w:rPr>
          <w:vertAlign w:val="subscript"/>
        </w:rPr>
        <w:t>2</w:t>
      </w:r>
      <w:r w:rsidR="00797432">
        <w:tab/>
      </w:r>
      <w:r>
        <w:tab/>
        <w:t>Nitrogen Dioxide</w:t>
      </w:r>
    </w:p>
    <w:p w14:paraId="5FAF8757" w14:textId="1DF3065F" w:rsidR="00F77C78" w:rsidRDefault="00F77C78" w:rsidP="002D3EF7">
      <w:pPr>
        <w:spacing w:after="120"/>
      </w:pPr>
      <w:r>
        <w:t>NO</w:t>
      </w:r>
      <w:r w:rsidR="00797432">
        <w:t>x</w:t>
      </w:r>
      <w:r w:rsidR="00797432">
        <w:tab/>
      </w:r>
      <w:r>
        <w:tab/>
        <w:t>Nitrogen Oxide</w:t>
      </w:r>
    </w:p>
    <w:p w14:paraId="3FBE2E87" w14:textId="3D27E35B" w:rsidR="00F77C78" w:rsidRDefault="00F77C78" w:rsidP="002D3EF7">
      <w:pPr>
        <w:spacing w:after="120"/>
      </w:pPr>
      <w:r>
        <w:t>NPDES</w:t>
      </w:r>
      <w:r w:rsidR="00797432">
        <w:tab/>
      </w:r>
      <w:r>
        <w:tab/>
        <w:t>National Pollutant Discharge Elimination System</w:t>
      </w:r>
    </w:p>
    <w:p w14:paraId="274A7C91" w14:textId="79C39225" w:rsidR="00F77C78" w:rsidRDefault="00F77C78" w:rsidP="002D3EF7">
      <w:pPr>
        <w:spacing w:after="120"/>
      </w:pPr>
      <w:r>
        <w:t>NSPS</w:t>
      </w:r>
      <w:r w:rsidR="00797432">
        <w:tab/>
      </w:r>
      <w:r>
        <w:tab/>
        <w:t>New Source Performance Standards</w:t>
      </w:r>
    </w:p>
    <w:p w14:paraId="576ABBE2" w14:textId="6CEB110D" w:rsidR="00735892" w:rsidRDefault="00735892" w:rsidP="002D3EF7">
      <w:pPr>
        <w:spacing w:after="120"/>
      </w:pPr>
      <w:r>
        <w:t>NRC</w:t>
      </w:r>
      <w:r>
        <w:tab/>
      </w:r>
      <w:r>
        <w:tab/>
        <w:t>Nuclear Regulatory Commission</w:t>
      </w:r>
    </w:p>
    <w:p w14:paraId="7017E302" w14:textId="31A30E5C" w:rsidR="00F77C78" w:rsidRDefault="00F77C78" w:rsidP="002D3EF7">
      <w:pPr>
        <w:spacing w:after="120"/>
      </w:pPr>
      <w:r>
        <w:t>NSR</w:t>
      </w:r>
      <w:r w:rsidR="00797432">
        <w:tab/>
      </w:r>
      <w:r>
        <w:tab/>
        <w:t>New Source Review</w:t>
      </w:r>
    </w:p>
    <w:p w14:paraId="6701FD1B" w14:textId="60FBAF60" w:rsidR="00F77C78" w:rsidRDefault="00F77C78" w:rsidP="002D3EF7">
      <w:pPr>
        <w:spacing w:after="120"/>
      </w:pPr>
      <w:r>
        <w:t>NWP</w:t>
      </w:r>
      <w:r w:rsidR="00797432">
        <w:tab/>
      </w:r>
      <w:r>
        <w:tab/>
        <w:t>Nationwide Permits</w:t>
      </w:r>
    </w:p>
    <w:p w14:paraId="1339E772" w14:textId="137099B3" w:rsidR="00F77C78" w:rsidRDefault="00F77C78" w:rsidP="002D3EF7">
      <w:pPr>
        <w:spacing w:after="120"/>
      </w:pPr>
      <w:r>
        <w:t>NWPR</w:t>
      </w:r>
      <w:r w:rsidR="00797432">
        <w:tab/>
      </w:r>
      <w:r>
        <w:tab/>
        <w:t>Navigable Waters Protection Rule</w:t>
      </w:r>
    </w:p>
    <w:p w14:paraId="01B8C571" w14:textId="25BE0F45" w:rsidR="00B65150" w:rsidRDefault="00B65150" w:rsidP="002D3EF7">
      <w:pPr>
        <w:spacing w:after="120"/>
      </w:pPr>
      <w:r>
        <w:t>OC</w:t>
      </w:r>
      <w:r>
        <w:tab/>
      </w:r>
      <w:r>
        <w:tab/>
        <w:t>Oxidation Catalyst</w:t>
      </w:r>
    </w:p>
    <w:p w14:paraId="13E84A07" w14:textId="6BBE61BF" w:rsidR="00F77C78" w:rsidRDefault="00F77C78" w:rsidP="002D3EF7">
      <w:pPr>
        <w:spacing w:after="120"/>
      </w:pPr>
      <w:r>
        <w:lastRenderedPageBreak/>
        <w:t>OFA</w:t>
      </w:r>
      <w:r w:rsidR="00797432">
        <w:tab/>
      </w:r>
      <w:r>
        <w:tab/>
        <w:t>Overfire Air</w:t>
      </w:r>
    </w:p>
    <w:p w14:paraId="4E9096FF" w14:textId="0645C06F" w:rsidR="00F77C78" w:rsidRDefault="00F77C78" w:rsidP="002D3EF7">
      <w:pPr>
        <w:spacing w:after="120"/>
      </w:pPr>
      <w:r>
        <w:t>O&amp;M</w:t>
      </w:r>
      <w:r w:rsidR="00797432">
        <w:tab/>
      </w:r>
      <w:r>
        <w:tab/>
        <w:t>Operati</w:t>
      </w:r>
      <w:r w:rsidR="002E7DA5">
        <w:t>ons</w:t>
      </w:r>
      <w:r>
        <w:t xml:space="preserve"> and Maintenance </w:t>
      </w:r>
    </w:p>
    <w:p w14:paraId="47349BCD" w14:textId="35A75460" w:rsidR="00391012" w:rsidRDefault="00391012" w:rsidP="002D3EF7">
      <w:pPr>
        <w:spacing w:after="120"/>
      </w:pPr>
      <w:r>
        <w:t>PCC</w:t>
      </w:r>
      <w:r>
        <w:tab/>
      </w:r>
      <w:r>
        <w:tab/>
        <w:t>Post-Closure Care</w:t>
      </w:r>
    </w:p>
    <w:p w14:paraId="555F9DCE" w14:textId="04EE499A" w:rsidR="00BB0CF5" w:rsidRDefault="00BB0CF5" w:rsidP="002D3EF7">
      <w:pPr>
        <w:spacing w:after="120"/>
      </w:pPr>
      <w:r>
        <w:t>PCCC</w:t>
      </w:r>
      <w:r>
        <w:tab/>
      </w:r>
      <w:r>
        <w:tab/>
      </w:r>
      <w:r w:rsidRPr="00BB0CF5">
        <w:rPr>
          <w:rFonts w:eastAsia="Arial" w:cs="Arial"/>
          <w:color w:val="000000" w:themeColor="text1"/>
        </w:rPr>
        <w:t>Permanently Ceasing Coal Combustion</w:t>
      </w:r>
    </w:p>
    <w:p w14:paraId="3CAECF4A" w14:textId="300BF26A" w:rsidR="00BD7E35" w:rsidRDefault="00BD7E35" w:rsidP="002D3EF7">
      <w:pPr>
        <w:spacing w:after="120"/>
      </w:pPr>
      <w:r>
        <w:t>PFAS</w:t>
      </w:r>
      <w:r w:rsidR="00CB17C4">
        <w:tab/>
      </w:r>
      <w:r w:rsidR="00CB17C4">
        <w:tab/>
        <w:t>P</w:t>
      </w:r>
      <w:r w:rsidR="00CB17C4" w:rsidRPr="00A575A4">
        <w:t xml:space="preserve">er- and </w:t>
      </w:r>
      <w:r w:rsidR="00EE6CA0">
        <w:rPr>
          <w:rStyle w:val="normaltextrun"/>
        </w:rPr>
        <w:t>P</w:t>
      </w:r>
      <w:r w:rsidR="00CB17C4" w:rsidRPr="00A575A4">
        <w:t>olyfluoroalkyl</w:t>
      </w:r>
      <w:r w:rsidR="00CB17C4">
        <w:rPr>
          <w:rStyle w:val="normaltextrun"/>
        </w:rPr>
        <w:t xml:space="preserve"> Substances</w:t>
      </w:r>
    </w:p>
    <w:p w14:paraId="3EC25D1C" w14:textId="01412ED8" w:rsidR="00F77C78" w:rsidRDefault="00F77C78" w:rsidP="002D3EF7">
      <w:pPr>
        <w:spacing w:after="120"/>
      </w:pPr>
      <w:r>
        <w:t>PJFF</w:t>
      </w:r>
      <w:r w:rsidR="00797432">
        <w:tab/>
      </w:r>
      <w:r>
        <w:tab/>
        <w:t>Pulse Jet Fabric Filter</w:t>
      </w:r>
    </w:p>
    <w:p w14:paraId="2172B871" w14:textId="38F58521" w:rsidR="00F77C78" w:rsidRDefault="00F77C78" w:rsidP="002D3EF7">
      <w:pPr>
        <w:spacing w:after="120"/>
      </w:pPr>
      <w:r>
        <w:t>PM</w:t>
      </w:r>
      <w:r w:rsidR="00797432">
        <w:tab/>
      </w:r>
      <w:r>
        <w:tab/>
        <w:t>Particulate Matter</w:t>
      </w:r>
    </w:p>
    <w:p w14:paraId="1D2B018C" w14:textId="3D03E54A" w:rsidR="00F77C78" w:rsidRDefault="00F77C78" w:rsidP="002D3EF7">
      <w:pPr>
        <w:spacing w:after="120"/>
      </w:pPr>
      <w:r>
        <w:t>PM</w:t>
      </w:r>
      <w:r w:rsidRPr="007E6B4F">
        <w:rPr>
          <w:vertAlign w:val="subscript"/>
        </w:rPr>
        <w:t>2.5</w:t>
      </w:r>
      <w:r w:rsidR="00797432">
        <w:tab/>
      </w:r>
      <w:r>
        <w:tab/>
        <w:t>Particulate Matter less than 2.5 micrometers in size</w:t>
      </w:r>
    </w:p>
    <w:p w14:paraId="08A3472E" w14:textId="3337F984" w:rsidR="009E151C" w:rsidRDefault="009E151C" w:rsidP="002D3EF7">
      <w:pPr>
        <w:spacing w:after="120"/>
      </w:pPr>
      <w:r>
        <w:t>PM CEMS</w:t>
      </w:r>
      <w:r>
        <w:tab/>
        <w:t>Particulate Matter Continuous Emissions Monitoring</w:t>
      </w:r>
    </w:p>
    <w:p w14:paraId="7FE57840" w14:textId="7CE8C38F" w:rsidR="00AE1B63" w:rsidRDefault="007C10D0" w:rsidP="002D3EF7">
      <w:pPr>
        <w:spacing w:after="120"/>
      </w:pPr>
      <w:r>
        <w:t>PPB</w:t>
      </w:r>
      <w:r>
        <w:tab/>
      </w:r>
      <w:r>
        <w:tab/>
        <w:t>Parts per Billion</w:t>
      </w:r>
    </w:p>
    <w:p w14:paraId="5CB04825" w14:textId="6788A316" w:rsidR="00F77C78" w:rsidRDefault="00F77C78" w:rsidP="002D3EF7">
      <w:pPr>
        <w:spacing w:after="120"/>
      </w:pPr>
      <w:r>
        <w:t>PRB</w:t>
      </w:r>
      <w:r w:rsidR="00797432">
        <w:tab/>
      </w:r>
      <w:r>
        <w:tab/>
        <w:t>Powder River Basin Coal</w:t>
      </w:r>
    </w:p>
    <w:p w14:paraId="508E26BB" w14:textId="316FFFF8" w:rsidR="00F77C78" w:rsidRDefault="00F77C78" w:rsidP="002D3EF7">
      <w:pPr>
        <w:spacing w:after="120"/>
      </w:pPr>
      <w:r>
        <w:t>PSC</w:t>
      </w:r>
      <w:r w:rsidR="00797432">
        <w:tab/>
      </w:r>
      <w:r>
        <w:tab/>
        <w:t>Georgia Public Service Commission</w:t>
      </w:r>
    </w:p>
    <w:p w14:paraId="176543FB" w14:textId="6D742AE0" w:rsidR="00F77C78" w:rsidRDefault="00F77C78" w:rsidP="002D3EF7">
      <w:pPr>
        <w:spacing w:after="120"/>
      </w:pPr>
      <w:r>
        <w:t>PSD</w:t>
      </w:r>
      <w:r w:rsidR="00797432">
        <w:tab/>
      </w:r>
      <w:r>
        <w:tab/>
        <w:t xml:space="preserve">Prevention of Significant Deterioration </w:t>
      </w:r>
    </w:p>
    <w:p w14:paraId="3FFC803E" w14:textId="639A0727" w:rsidR="00F77C78" w:rsidRDefault="00F77C78" w:rsidP="002D3EF7">
      <w:pPr>
        <w:spacing w:after="120"/>
      </w:pPr>
      <w:r>
        <w:t>R&amp;D</w:t>
      </w:r>
      <w:r w:rsidR="00797432">
        <w:tab/>
      </w:r>
      <w:r>
        <w:tab/>
        <w:t xml:space="preserve">Research and Development </w:t>
      </w:r>
    </w:p>
    <w:p w14:paraId="636C5363" w14:textId="02F0C591" w:rsidR="00F77C78" w:rsidRDefault="00F77C78" w:rsidP="002D3EF7">
      <w:pPr>
        <w:spacing w:after="120"/>
      </w:pPr>
      <w:r>
        <w:t>RFP</w:t>
      </w:r>
      <w:r w:rsidR="00797432">
        <w:tab/>
      </w:r>
      <w:r>
        <w:tab/>
        <w:t>Request for Proposals</w:t>
      </w:r>
    </w:p>
    <w:p w14:paraId="08151CAA" w14:textId="1D51FD7C" w:rsidR="00F77C78" w:rsidRDefault="00F77C78" w:rsidP="002D3EF7">
      <w:pPr>
        <w:spacing w:after="120"/>
      </w:pPr>
      <w:r>
        <w:t>RCRA</w:t>
      </w:r>
      <w:r w:rsidR="00797432">
        <w:tab/>
      </w:r>
      <w:r>
        <w:tab/>
        <w:t>Resource Conservation and Recovery Act</w:t>
      </w:r>
    </w:p>
    <w:p w14:paraId="003DB62C" w14:textId="65318363" w:rsidR="00305937" w:rsidRDefault="00305937" w:rsidP="002D3EF7">
      <w:pPr>
        <w:spacing w:after="120"/>
      </w:pPr>
      <w:r>
        <w:t>R&amp;D</w:t>
      </w:r>
      <w:r>
        <w:tab/>
      </w:r>
      <w:r>
        <w:tab/>
        <w:t>Research and Development</w:t>
      </w:r>
    </w:p>
    <w:p w14:paraId="526457E6" w14:textId="6641AAAE" w:rsidR="00EF222C" w:rsidRDefault="00EF222C" w:rsidP="002D3EF7">
      <w:pPr>
        <w:spacing w:after="120"/>
      </w:pPr>
      <w:r>
        <w:t>RICE</w:t>
      </w:r>
      <w:r>
        <w:tab/>
      </w:r>
      <w:r>
        <w:tab/>
      </w:r>
      <w:r w:rsidRPr="00060673">
        <w:rPr>
          <w:rFonts w:cs="Calibri"/>
          <w:color w:val="000000"/>
          <w:bdr w:val="none" w:sz="0" w:space="0" w:color="auto" w:frame="1"/>
        </w:rPr>
        <w:t>Reciprocating Internal Combustion Engines</w:t>
      </w:r>
    </w:p>
    <w:p w14:paraId="2CF95F87" w14:textId="3B8758BE" w:rsidR="00F77C78" w:rsidRDefault="00F77C78" w:rsidP="002D3EF7">
      <w:pPr>
        <w:spacing w:after="120"/>
      </w:pPr>
      <w:r>
        <w:t>RMDC</w:t>
      </w:r>
      <w:r w:rsidR="00797432">
        <w:tab/>
      </w:r>
      <w:r>
        <w:tab/>
        <w:t>Remote Mechanical Drag Chain</w:t>
      </w:r>
    </w:p>
    <w:p w14:paraId="6714634E" w14:textId="05339FD8" w:rsidR="00D547CA" w:rsidRDefault="00D547CA" w:rsidP="002D3EF7">
      <w:pPr>
        <w:spacing w:after="120"/>
      </w:pPr>
      <w:r>
        <w:t>RMP</w:t>
      </w:r>
      <w:r>
        <w:tab/>
      </w:r>
      <w:r>
        <w:tab/>
      </w:r>
      <w:r w:rsidRPr="00504B58">
        <w:t>Risk Management Program</w:t>
      </w:r>
    </w:p>
    <w:p w14:paraId="2B5BA7CD" w14:textId="61E3467F" w:rsidR="00F77C78" w:rsidRDefault="00F77C78" w:rsidP="002D3EF7">
      <w:pPr>
        <w:spacing w:after="120"/>
      </w:pPr>
      <w:r>
        <w:t>RTR</w:t>
      </w:r>
      <w:r w:rsidR="00797432">
        <w:tab/>
      </w:r>
      <w:r>
        <w:tab/>
        <w:t>Risk and Technology Review</w:t>
      </w:r>
    </w:p>
    <w:p w14:paraId="5338F441" w14:textId="73122103" w:rsidR="006641BA" w:rsidRDefault="006641BA" w:rsidP="002D3EF7">
      <w:pPr>
        <w:spacing w:after="120"/>
      </w:pPr>
      <w:r>
        <w:t>RULOF</w:t>
      </w:r>
      <w:r>
        <w:tab/>
      </w:r>
      <w:r>
        <w:tab/>
        <w:t xml:space="preserve">Remaining Useful </w:t>
      </w:r>
      <w:r w:rsidR="005B585B">
        <w:t>Life and Other Factors</w:t>
      </w:r>
    </w:p>
    <w:p w14:paraId="3D16D78D" w14:textId="51DAD562" w:rsidR="00F77C78" w:rsidRDefault="00F77C78" w:rsidP="002D3EF7">
      <w:pPr>
        <w:spacing w:after="120"/>
      </w:pPr>
      <w:r>
        <w:t>SCR</w:t>
      </w:r>
      <w:r w:rsidR="00797432">
        <w:tab/>
      </w:r>
      <w:r>
        <w:tab/>
        <w:t>Selective Catalytic Reduction</w:t>
      </w:r>
    </w:p>
    <w:p w14:paraId="3AF4DC48" w14:textId="2493C2DE" w:rsidR="00F77C78" w:rsidRDefault="00F77C78" w:rsidP="002D3EF7">
      <w:pPr>
        <w:spacing w:after="120"/>
      </w:pPr>
      <w:r>
        <w:t>SC-GHG</w:t>
      </w:r>
      <w:r w:rsidR="00797432">
        <w:tab/>
      </w:r>
      <w:r>
        <w:t>Social Cost of Greenhouse Gases</w:t>
      </w:r>
    </w:p>
    <w:p w14:paraId="26263246" w14:textId="60620C1A" w:rsidR="003B424F" w:rsidRDefault="003B424F" w:rsidP="002D3EF7">
      <w:pPr>
        <w:spacing w:after="120"/>
      </w:pPr>
      <w:r>
        <w:t>SEC</w:t>
      </w:r>
      <w:r>
        <w:tab/>
      </w:r>
      <w:r>
        <w:tab/>
        <w:t>Securities and Exchange Commission</w:t>
      </w:r>
    </w:p>
    <w:p w14:paraId="0625B9E4" w14:textId="6955F526" w:rsidR="00F77C78" w:rsidRDefault="00F77C78" w:rsidP="002D3EF7">
      <w:pPr>
        <w:spacing w:after="120"/>
      </w:pPr>
      <w:r>
        <w:t>SIP</w:t>
      </w:r>
      <w:r w:rsidR="00797432">
        <w:tab/>
      </w:r>
      <w:r>
        <w:tab/>
        <w:t>State Implementation Plan</w:t>
      </w:r>
    </w:p>
    <w:p w14:paraId="45193336" w14:textId="36BF6CD8" w:rsidR="004D5928" w:rsidRDefault="004D5928" w:rsidP="002D3EF7">
      <w:pPr>
        <w:spacing w:after="120"/>
      </w:pPr>
      <w:r>
        <w:t>SI ICE</w:t>
      </w:r>
      <w:r>
        <w:tab/>
      </w:r>
      <w:r>
        <w:tab/>
      </w:r>
      <w:r w:rsidRPr="00060673">
        <w:rPr>
          <w:rFonts w:cs="Calibri"/>
          <w:color w:val="000000"/>
          <w:bdr w:val="none" w:sz="0" w:space="0" w:color="auto" w:frame="1"/>
        </w:rPr>
        <w:t>Stationary Spark Ignition Internal Combustion Engines</w:t>
      </w:r>
    </w:p>
    <w:p w14:paraId="219A47CA" w14:textId="6D4D2F37" w:rsidR="00F77C78" w:rsidRDefault="00F77C78" w:rsidP="002D3EF7">
      <w:pPr>
        <w:spacing w:after="120"/>
      </w:pPr>
      <w:r>
        <w:t>SNCR</w:t>
      </w:r>
      <w:r w:rsidR="00797432">
        <w:tab/>
      </w:r>
      <w:r>
        <w:tab/>
        <w:t>Selective Non-Catalytic Reduction</w:t>
      </w:r>
    </w:p>
    <w:p w14:paraId="1F56FBDE" w14:textId="5FB5AD05" w:rsidR="00F77C78" w:rsidRDefault="00F77C78" w:rsidP="002D3EF7">
      <w:pPr>
        <w:spacing w:after="120"/>
      </w:pPr>
      <w:r>
        <w:t>SO</w:t>
      </w:r>
      <w:r w:rsidRPr="007831C3">
        <w:rPr>
          <w:vertAlign w:val="subscript"/>
        </w:rPr>
        <w:t>2</w:t>
      </w:r>
      <w:r w:rsidR="00797432">
        <w:tab/>
      </w:r>
      <w:r>
        <w:tab/>
        <w:t>Sulfur Dioxide</w:t>
      </w:r>
    </w:p>
    <w:p w14:paraId="67F1E87B" w14:textId="456935C0" w:rsidR="00F77C78" w:rsidRDefault="00F77C78" w:rsidP="002D3EF7">
      <w:pPr>
        <w:spacing w:after="120"/>
      </w:pPr>
      <w:r>
        <w:t>SSM</w:t>
      </w:r>
      <w:r w:rsidR="00797432">
        <w:tab/>
      </w:r>
      <w:r>
        <w:tab/>
        <w:t>Startup, Shutdown, Malfunction</w:t>
      </w:r>
    </w:p>
    <w:p w14:paraId="103AB2A2" w14:textId="53EA0B1E" w:rsidR="00B17BF5" w:rsidRDefault="00B17BF5" w:rsidP="002D3EF7">
      <w:pPr>
        <w:spacing w:after="120"/>
      </w:pPr>
      <w:r>
        <w:t>TMDL</w:t>
      </w:r>
      <w:r>
        <w:tab/>
      </w:r>
      <w:r>
        <w:tab/>
        <w:t>Total Maximum Daily Load</w:t>
      </w:r>
    </w:p>
    <w:p w14:paraId="6AA1111A" w14:textId="321950BA" w:rsidR="00F77C78" w:rsidRDefault="00F77C78" w:rsidP="002D3EF7">
      <w:pPr>
        <w:spacing w:after="120"/>
      </w:pPr>
      <w:r>
        <w:lastRenderedPageBreak/>
        <w:t>TWS</w:t>
      </w:r>
      <w:r w:rsidR="00797432">
        <w:tab/>
      </w:r>
      <w:r>
        <w:tab/>
        <w:t>Traveling Water Screens</w:t>
      </w:r>
    </w:p>
    <w:p w14:paraId="4394F89D" w14:textId="77777777" w:rsidR="00F77C78" w:rsidRDefault="00F77C78" w:rsidP="002D3EF7">
      <w:pPr>
        <w:spacing w:after="120"/>
      </w:pPr>
      <w:r>
        <w:t>UNFCCC</w:t>
      </w:r>
      <w:r>
        <w:tab/>
        <w:t xml:space="preserve">United Nations Framework Convention on Climate Change </w:t>
      </w:r>
    </w:p>
    <w:p w14:paraId="72A5853D" w14:textId="3AED7733" w:rsidR="00003434" w:rsidRDefault="00003434" w:rsidP="002D3EF7">
      <w:pPr>
        <w:spacing w:after="120"/>
      </w:pPr>
      <w:r>
        <w:t>USFWS</w:t>
      </w:r>
      <w:r>
        <w:tab/>
      </w:r>
      <w:r>
        <w:tab/>
        <w:t>United States Fish and Wildlife Service</w:t>
      </w:r>
    </w:p>
    <w:p w14:paraId="70AC6B1F" w14:textId="2CC9C3CA" w:rsidR="00BF69B1" w:rsidRDefault="00BF69B1" w:rsidP="002D3EF7">
      <w:pPr>
        <w:spacing w:after="120"/>
      </w:pPr>
      <w:r>
        <w:t>UWAG</w:t>
      </w:r>
      <w:r>
        <w:tab/>
      </w:r>
      <w:r>
        <w:tab/>
        <w:t>Utility Water Action Group</w:t>
      </w:r>
    </w:p>
    <w:p w14:paraId="1EB2E8EB" w14:textId="0611B72A" w:rsidR="00F77C78" w:rsidRDefault="00F77C78" w:rsidP="002D3EF7">
      <w:pPr>
        <w:spacing w:after="120"/>
      </w:pPr>
      <w:r>
        <w:t>USWAG</w:t>
      </w:r>
      <w:r w:rsidR="00797432">
        <w:tab/>
      </w:r>
      <w:r>
        <w:t>Utility Solid Waste Activities Group</w:t>
      </w:r>
    </w:p>
    <w:p w14:paraId="60819B75" w14:textId="3B5EDCC1" w:rsidR="00F77C78" w:rsidRDefault="00F77C78" w:rsidP="002D3EF7">
      <w:pPr>
        <w:spacing w:after="120"/>
      </w:pPr>
      <w:r>
        <w:t>VIP</w:t>
      </w:r>
      <w:r w:rsidR="00797432">
        <w:tab/>
      </w:r>
      <w:r>
        <w:tab/>
        <w:t>Voluntary Incentive Program</w:t>
      </w:r>
    </w:p>
    <w:p w14:paraId="1678F9C0" w14:textId="2D658789" w:rsidR="00F77C78" w:rsidRDefault="00F77C78" w:rsidP="002D3EF7">
      <w:pPr>
        <w:spacing w:after="120"/>
      </w:pPr>
      <w:r>
        <w:t>VOC</w:t>
      </w:r>
      <w:r w:rsidR="00797432">
        <w:tab/>
      </w:r>
      <w:r>
        <w:tab/>
        <w:t>Volatile Organic Compound</w:t>
      </w:r>
      <w:r w:rsidR="00797432">
        <w:t>s</w:t>
      </w:r>
    </w:p>
    <w:p w14:paraId="5D3A9540" w14:textId="77777777" w:rsidR="00F77C78" w:rsidRDefault="00F77C78" w:rsidP="002D3EF7">
      <w:pPr>
        <w:spacing w:after="120"/>
      </w:pPr>
      <w:r>
        <w:t>WIIN Act</w:t>
      </w:r>
      <w:r>
        <w:tab/>
        <w:t>Water Infrastructure Improvements for the Nation Act</w:t>
      </w:r>
    </w:p>
    <w:p w14:paraId="657EA835" w14:textId="45E625AF" w:rsidR="00F77C78" w:rsidRDefault="00F77C78" w:rsidP="002D3EF7">
      <w:pPr>
        <w:spacing w:after="120"/>
      </w:pPr>
      <w:r>
        <w:t>WOTUS</w:t>
      </w:r>
      <w:r w:rsidR="00797432">
        <w:tab/>
      </w:r>
      <w:r>
        <w:t>Waters of the U</w:t>
      </w:r>
      <w:r w:rsidR="00BE6DF2">
        <w:t>nited States</w:t>
      </w:r>
    </w:p>
    <w:p w14:paraId="131D272D" w14:textId="07E6E40D" w:rsidR="00F77C78" w:rsidRDefault="00F77C78" w:rsidP="002D3EF7">
      <w:pPr>
        <w:spacing w:after="120"/>
      </w:pPr>
      <w:r>
        <w:t>WRC</w:t>
      </w:r>
      <w:r w:rsidR="00797432">
        <w:tab/>
      </w:r>
      <w:r>
        <w:tab/>
        <w:t>Water Research Center</w:t>
      </w:r>
    </w:p>
    <w:p w14:paraId="1189AEA5" w14:textId="77777777" w:rsidR="0004326A" w:rsidRDefault="00F77C78" w:rsidP="00FE396A">
      <w:pPr>
        <w:spacing w:after="120"/>
      </w:pPr>
      <w:r>
        <w:t>WRCC</w:t>
      </w:r>
      <w:r w:rsidR="00797432">
        <w:tab/>
      </w:r>
      <w:r>
        <w:tab/>
        <w:t>Water Research and Conservation Center</w:t>
      </w:r>
    </w:p>
    <w:p w14:paraId="3A68A318" w14:textId="6D097911" w:rsidR="000D33E9" w:rsidRDefault="0004326A" w:rsidP="00FE396A">
      <w:pPr>
        <w:spacing w:after="120"/>
        <w:rPr>
          <w:rFonts w:cs="Arial"/>
          <w:bCs/>
          <w:color w:val="000000"/>
          <w:szCs w:val="24"/>
        </w:rPr>
      </w:pPr>
      <w:r>
        <w:t>ZLD</w:t>
      </w:r>
      <w:r>
        <w:tab/>
      </w:r>
      <w:r>
        <w:tab/>
        <w:t>Zero Liquid Discharge</w:t>
      </w:r>
      <w:r w:rsidR="000D33E9">
        <w:rPr>
          <w:rFonts w:cs="Arial"/>
          <w:bCs/>
          <w:color w:val="000000"/>
          <w:szCs w:val="24"/>
        </w:rPr>
        <w:br w:type="page"/>
      </w:r>
    </w:p>
    <w:p w14:paraId="11E33BAF" w14:textId="564A2C0F" w:rsidR="00EE3636" w:rsidRPr="00FE396A" w:rsidRDefault="00EE3636" w:rsidP="00FE396A">
      <w:pPr>
        <w:pStyle w:val="Heading1"/>
      </w:pPr>
      <w:bookmarkStart w:id="88" w:name="_Toc188252332"/>
      <w:r w:rsidRPr="00FE396A">
        <w:lastRenderedPageBreak/>
        <w:t>ECS - Appendix C – R&amp;D and Environmental Control Alternatives</w:t>
      </w:r>
      <w:bookmarkEnd w:id="88"/>
    </w:p>
    <w:p w14:paraId="61E6A329" w14:textId="491F4B9B" w:rsidR="002A71B8" w:rsidRDefault="002A71B8" w:rsidP="002D3EF7">
      <w:pPr>
        <w:spacing w:after="0" w:line="240" w:lineRule="auto"/>
      </w:pPr>
      <w:r>
        <w:t xml:space="preserve">R&amp;D continues to be </w:t>
      </w:r>
      <w:r w:rsidRPr="00DB7156">
        <w:t xml:space="preserve">an integral part of the overall Georgia Power environmental strategy and compliance plan. Through research, </w:t>
      </w:r>
      <w:r>
        <w:t xml:space="preserve">development, and demonstration, </w:t>
      </w:r>
      <w:r w:rsidRPr="00DB7156">
        <w:t>technologies are evaluated and selected for possible implementation to meet compliance with federal and state regulatory requirements. Technology-related decisions are made based on compliance alternatives, technical review (often following actual testing), schedules, equipment-vendor price quotes, total costs over the useful life, specific unit issues, and performance guarantees. Operations, maintenance, and cost</w:t>
      </w:r>
      <w:r>
        <w:t>-</w:t>
      </w:r>
      <w:r w:rsidRPr="00DB7156">
        <w:t>effectiveness are important parts of the decision-making process.</w:t>
      </w:r>
      <w:r w:rsidR="007C14B7">
        <w:t xml:space="preserve"> </w:t>
      </w:r>
    </w:p>
    <w:p w14:paraId="05D9ABD5" w14:textId="53CA964D" w:rsidR="002A71B8" w:rsidRDefault="002A71B8" w:rsidP="002D3EF7">
      <w:pPr>
        <w:spacing w:after="0" w:line="240" w:lineRule="auto"/>
      </w:pPr>
      <w:r w:rsidRPr="00DB7156">
        <w:t xml:space="preserve">Since </w:t>
      </w:r>
      <w:r>
        <w:t xml:space="preserve">the implementation of the </w:t>
      </w:r>
      <w:r w:rsidR="002849F6">
        <w:t>CAA</w:t>
      </w:r>
      <w:r>
        <w:t xml:space="preserve"> Amendments of 1990</w:t>
      </w:r>
      <w:r w:rsidRPr="00DB7156">
        <w:t xml:space="preserve">, </w:t>
      </w:r>
      <w:r>
        <w:t>R&amp;D</w:t>
      </w:r>
      <w:r w:rsidRPr="00DB7156">
        <w:t xml:space="preserve"> </w:t>
      </w:r>
      <w:r>
        <w:t>has</w:t>
      </w:r>
      <w:r w:rsidRPr="00DB7156">
        <w:t xml:space="preserve"> been crucial </w:t>
      </w:r>
      <w:r w:rsidR="000F0AB2">
        <w:t xml:space="preserve">in </w:t>
      </w:r>
      <w:r w:rsidRPr="00DB7156">
        <w:t>assuring that the best</w:t>
      </w:r>
      <w:r>
        <w:t>-</w:t>
      </w:r>
      <w:r w:rsidRPr="00DB7156">
        <w:t>possible environmental compliance strategies are selected for implementation at Georgia Power.</w:t>
      </w:r>
      <w:r w:rsidR="0052049E">
        <w:t xml:space="preserve"> </w:t>
      </w:r>
      <w:r>
        <w:t>Georgia Power and Southern Company leverage</w:t>
      </w:r>
      <w:r w:rsidRPr="00DB7156">
        <w:t xml:space="preserve"> </w:t>
      </w:r>
      <w:r>
        <w:t xml:space="preserve">existing knowledge through </w:t>
      </w:r>
      <w:r w:rsidRPr="00DB7156">
        <w:t>industry affiliations across the U.S. and around the world</w:t>
      </w:r>
      <w:r>
        <w:t xml:space="preserve"> to identify these opportunities and help reach cost-effective paths forward.</w:t>
      </w:r>
      <w:r w:rsidRPr="00DB7156" w:rsidDel="009905E4">
        <w:t xml:space="preserve"> </w:t>
      </w:r>
      <w:r w:rsidRPr="00DB7156">
        <w:t xml:space="preserve">To minimize cost and risk, only proven technologies should be implemented commercially. These industry R&amp;D efforts </w:t>
      </w:r>
      <w:r>
        <w:t>have successfully</w:t>
      </w:r>
      <w:r w:rsidRPr="00DB7156">
        <w:t xml:space="preserve"> test</w:t>
      </w:r>
      <w:r>
        <w:t>ed</w:t>
      </w:r>
      <w:r w:rsidRPr="00DB7156">
        <w:t xml:space="preserve"> low-</w:t>
      </w:r>
      <w:r w:rsidR="002628B6" w:rsidRPr="002628B6">
        <w:t xml:space="preserve"> </w:t>
      </w:r>
      <w:r w:rsidR="002628B6" w:rsidRPr="00442755">
        <w:t>NO</w:t>
      </w:r>
      <w:r w:rsidR="002628B6">
        <w:t>x</w:t>
      </w:r>
      <w:r w:rsidRPr="00DB7156">
        <w:t xml:space="preserve"> burners, precipitators, catalyst materials for</w:t>
      </w:r>
      <w:r>
        <w:t xml:space="preserve"> </w:t>
      </w:r>
      <w:r w:rsidR="006079D7">
        <w:t>SCRs</w:t>
      </w:r>
      <w:r w:rsidRPr="00DB7156">
        <w:t xml:space="preserve">, </w:t>
      </w:r>
      <w:r w:rsidR="003540B1">
        <w:t>scrubbers</w:t>
      </w:r>
      <w:r w:rsidRPr="00DB7156">
        <w:t xml:space="preserve">, mercury reduction systems, </w:t>
      </w:r>
      <w:r>
        <w:t xml:space="preserve">wastewater treatment systems, water balance optimization measures, ash beneficial use, </w:t>
      </w:r>
      <w:r w:rsidRPr="00DB7156">
        <w:t>and other equipment and have contributed to Georgia Power’s ability to meet stringent requirements while continuing to provide affordable energy for customers</w:t>
      </w:r>
      <w:r>
        <w:t>. Insight from this research benefit</w:t>
      </w:r>
      <w:r w:rsidR="00D24089">
        <w:t>s</w:t>
      </w:r>
      <w:r>
        <w:t xml:space="preserve"> vendor and material selection, construction, and long-term operation, efficiency, and flexibility.  </w:t>
      </w:r>
    </w:p>
    <w:p w14:paraId="455FB05B" w14:textId="41304000" w:rsidR="0052049E" w:rsidRPr="00DB7156" w:rsidRDefault="0052049E" w:rsidP="002D3EF7">
      <w:pPr>
        <w:spacing w:after="0" w:line="240" w:lineRule="auto"/>
      </w:pPr>
      <w:r>
        <w:t>This appendix describes R&amp;D efforts related to water, ash beneficial use, and carbon emissions</w:t>
      </w:r>
      <w:r w:rsidR="00606B63">
        <w:t xml:space="preserve"> and</w:t>
      </w:r>
      <w:r w:rsidR="00E42A78">
        <w:t xml:space="preserve"> </w:t>
      </w:r>
      <w:r w:rsidRPr="00DB7156">
        <w:t xml:space="preserve">provides a list of </w:t>
      </w:r>
      <w:r>
        <w:t xml:space="preserve">control </w:t>
      </w:r>
      <w:r w:rsidRPr="00DB7156">
        <w:t>technologies considered in an ongoing effort to meet mandated requirements in a timely manner, maintain system reliability, and assure cost-effective generation for customers.</w:t>
      </w:r>
    </w:p>
    <w:p w14:paraId="0AA1C14E" w14:textId="4732C803" w:rsidR="002A71B8" w:rsidRPr="00DA238A" w:rsidRDefault="002A71B8" w:rsidP="00FE396A">
      <w:pPr>
        <w:pStyle w:val="Heading3noTOC"/>
      </w:pPr>
      <w:bookmarkStart w:id="89" w:name="_Toc94197866"/>
      <w:bookmarkStart w:id="90" w:name="_Toc126509252"/>
      <w:bookmarkStart w:id="91" w:name="_Toc130201026"/>
      <w:r w:rsidRPr="00DA238A">
        <w:t>Water Research and Conservation Center</w:t>
      </w:r>
      <w:bookmarkEnd w:id="89"/>
      <w:bookmarkEnd w:id="90"/>
      <w:bookmarkEnd w:id="91"/>
      <w:r w:rsidRPr="00DA238A">
        <w:t xml:space="preserve"> </w:t>
      </w:r>
    </w:p>
    <w:p w14:paraId="7A818647" w14:textId="49ECF4A0" w:rsidR="002A71B8" w:rsidRPr="006D51D9" w:rsidRDefault="002A71B8" w:rsidP="002D3EF7">
      <w:pPr>
        <w:spacing w:after="0" w:line="240" w:lineRule="auto"/>
        <w:rPr>
          <w:rFonts w:eastAsia="Calibri" w:cs="Arial"/>
        </w:rPr>
      </w:pPr>
      <w:r w:rsidRPr="015F527C">
        <w:t xml:space="preserve">Originally developed in 2012 through collaboration with </w:t>
      </w:r>
      <w:r>
        <w:t>the Electric Power Research Institute (“EPRI”)</w:t>
      </w:r>
      <w:r w:rsidRPr="015F527C">
        <w:t xml:space="preserve"> and Southern Company,</w:t>
      </w:r>
      <w:r>
        <w:t xml:space="preserve"> </w:t>
      </w:r>
      <w:r w:rsidRPr="015F527C">
        <w:t xml:space="preserve">the Water Research Center (“WRC”) at Plant Bowen provided a venue for technology evaluations to address water use, withdrawal, consumption, treatment, and recycling throughout the power generation process. The WRC generated information regarding current and future regulatory compliance issues related to water withdrawal, use, and discharge restrictions </w:t>
      </w:r>
      <w:r w:rsidR="005324E8">
        <w:t>that will</w:t>
      </w:r>
      <w:r w:rsidRPr="015F527C" w:rsidDel="005324E8">
        <w:t xml:space="preserve"> </w:t>
      </w:r>
      <w:r w:rsidRPr="00E966A5">
        <w:t>direct</w:t>
      </w:r>
      <w:r w:rsidR="005324E8">
        <w:t>ly</w:t>
      </w:r>
      <w:r w:rsidRPr="00E966A5">
        <w:t xml:space="preserve"> support the Company’s ongoing evaluation of the </w:t>
      </w:r>
      <w:r w:rsidR="00E904D2">
        <w:rPr>
          <w:rFonts w:eastAsia="Calibri" w:cs="Arial"/>
        </w:rPr>
        <w:t xml:space="preserve">anticipated </w:t>
      </w:r>
      <w:r w:rsidR="008D4775">
        <w:rPr>
          <w:rFonts w:eastAsia="Calibri" w:cs="Arial"/>
        </w:rPr>
        <w:t xml:space="preserve">2024 </w:t>
      </w:r>
      <w:r w:rsidR="00E904D2">
        <w:rPr>
          <w:rFonts w:eastAsia="Calibri" w:cs="Arial"/>
        </w:rPr>
        <w:t>ELG Final Rule</w:t>
      </w:r>
      <w:r w:rsidR="00E904D2" w:rsidRPr="00E966A5">
        <w:t xml:space="preserve"> </w:t>
      </w:r>
      <w:r w:rsidRPr="00E966A5">
        <w:t xml:space="preserve">and associated strategy. </w:t>
      </w:r>
      <w:r w:rsidR="002D2F1D">
        <w:rPr>
          <w:rFonts w:eastAsia="Calibri" w:cs="Arial"/>
        </w:rPr>
        <w:t>Work completed at the WRC will be used to inform technology decisions for compliance</w:t>
      </w:r>
      <w:r w:rsidR="000C3B63">
        <w:rPr>
          <w:rFonts w:eastAsia="Calibri" w:cs="Arial"/>
        </w:rPr>
        <w:t>.</w:t>
      </w:r>
      <w:r w:rsidR="007C14B7">
        <w:rPr>
          <w:rFonts w:eastAsia="Calibri" w:cs="Arial"/>
        </w:rPr>
        <w:t xml:space="preserve"> </w:t>
      </w:r>
      <w:r w:rsidRPr="1F9EA5FF">
        <w:t xml:space="preserve">Due to the success of the WRC, Southern Company and EPRI </w:t>
      </w:r>
      <w:r>
        <w:t>expanded the WRC to the</w:t>
      </w:r>
      <w:r w:rsidRPr="1F9EA5FF">
        <w:t xml:space="preserve"> Water Research and Conservation Center (“WRCC”)</w:t>
      </w:r>
      <w:r w:rsidR="00AF5CC4">
        <w:t>,</w:t>
      </w:r>
      <w:r w:rsidRPr="1F9EA5FF">
        <w:t xml:space="preserve"> </w:t>
      </w:r>
      <w:r w:rsidR="00D04803">
        <w:t>build</w:t>
      </w:r>
      <w:r>
        <w:t>ing a state-of-the</w:t>
      </w:r>
      <w:r w:rsidR="00C10277">
        <w:t>-</w:t>
      </w:r>
      <w:r>
        <w:t xml:space="preserve">art facility </w:t>
      </w:r>
      <w:r w:rsidRPr="1F9EA5FF">
        <w:t xml:space="preserve">at </w:t>
      </w:r>
      <w:r w:rsidR="0026314C">
        <w:t xml:space="preserve">Georgia Power’s </w:t>
      </w:r>
      <w:r w:rsidRPr="1F9EA5FF">
        <w:t>Plant McDonough. This research center provides the infrastructure needed to test and identify promising water technologies. To better manage and conserve water across our thermoelectric power generation sites, the WRCC promotes advancements in power plant cooling systems leading to reduced water withdrawal and consumption as well as improved plant efficiency while optimizing total cost and energy generation.</w:t>
      </w:r>
    </w:p>
    <w:p w14:paraId="12626989" w14:textId="63DD7E9E" w:rsidR="00DE0720" w:rsidRDefault="00117E9A" w:rsidP="002D3EF7">
      <w:pPr>
        <w:spacing w:after="0" w:line="240" w:lineRule="auto"/>
        <w:rPr>
          <w:rFonts w:eastAsia="Calibri" w:cs="Arial"/>
        </w:rPr>
      </w:pPr>
      <w:r>
        <w:t xml:space="preserve">Since </w:t>
      </w:r>
      <w:r w:rsidR="008F589C">
        <w:t>the</w:t>
      </w:r>
      <w:r>
        <w:t xml:space="preserve"> operational start</w:t>
      </w:r>
      <w:r w:rsidR="008F589C">
        <w:t xml:space="preserve"> of the WRCC</w:t>
      </w:r>
      <w:r>
        <w:t xml:space="preserve"> in 2020, s</w:t>
      </w:r>
      <w:r w:rsidR="008D5A18" w:rsidRPr="00A832BB">
        <w:rPr>
          <w:rFonts w:eastAsia="Calibri" w:cs="Arial"/>
        </w:rPr>
        <w:t xml:space="preserve">everal projects have been completed including an evaluation of condenser tube coatings and surface modifications in the Heat Transfer Loop (“HTL”) as part of a </w:t>
      </w:r>
      <w:r w:rsidR="00445F53" w:rsidRPr="00A832BB">
        <w:rPr>
          <w:rFonts w:eastAsia="Calibri" w:cs="Arial"/>
        </w:rPr>
        <w:t>DOE-</w:t>
      </w:r>
      <w:r w:rsidR="008D5A18" w:rsidRPr="00A832BB">
        <w:rPr>
          <w:rFonts w:eastAsia="Calibri" w:cs="Arial"/>
        </w:rPr>
        <w:t xml:space="preserve">funded </w:t>
      </w:r>
      <w:r w:rsidR="00445F53" w:rsidRPr="00A832BB">
        <w:rPr>
          <w:rFonts w:eastAsia="Calibri" w:cs="Arial"/>
        </w:rPr>
        <w:t>project</w:t>
      </w:r>
      <w:r w:rsidR="008D5A18" w:rsidRPr="00A832BB">
        <w:rPr>
          <w:rFonts w:eastAsia="Calibri" w:cs="Arial"/>
        </w:rPr>
        <w:t xml:space="preserve"> to investigate technologies to improve heat transfer and mitigate heat transfer losses due to condenser tube fouling. Other completed projects at the WRCC include a non-chlorine biocide, as well as a technology to monitor deposition on heat transfer surfaces for better identification and control of fouling. </w:t>
      </w:r>
      <w:r w:rsidR="00083203">
        <w:rPr>
          <w:rFonts w:eastAsia="Calibri" w:cs="Arial"/>
        </w:rPr>
        <w:t>Several ongoing and upcoming</w:t>
      </w:r>
      <w:r w:rsidR="00E91DF5">
        <w:rPr>
          <w:rFonts w:eastAsia="Calibri" w:cs="Arial"/>
        </w:rPr>
        <w:t xml:space="preserve"> projects include </w:t>
      </w:r>
      <w:r w:rsidR="00463DAC">
        <w:rPr>
          <w:rFonts w:eastAsia="Calibri" w:cs="Arial"/>
        </w:rPr>
        <w:t xml:space="preserve">testing a </w:t>
      </w:r>
      <w:r w:rsidR="00A703A6">
        <w:rPr>
          <w:rFonts w:eastAsia="Calibri" w:cs="Arial"/>
        </w:rPr>
        <w:lastRenderedPageBreak/>
        <w:t>set of enhanced condenser tubes that can significantly improve condenser performance</w:t>
      </w:r>
      <w:r w:rsidR="00F538DA">
        <w:rPr>
          <w:rFonts w:eastAsia="Calibri" w:cs="Arial"/>
        </w:rPr>
        <w:t>, a DOE-funded project focused on improving per</w:t>
      </w:r>
      <w:r w:rsidR="005D76DE">
        <w:rPr>
          <w:rFonts w:eastAsia="Calibri" w:cs="Arial"/>
        </w:rPr>
        <w:t xml:space="preserve">formance of air-cooled condensers, </w:t>
      </w:r>
      <w:r w:rsidR="0043655A">
        <w:rPr>
          <w:rFonts w:eastAsia="Calibri" w:cs="Arial"/>
        </w:rPr>
        <w:t>and water treatment evaluations.</w:t>
      </w:r>
    </w:p>
    <w:p w14:paraId="438CFE56" w14:textId="548F5A5E" w:rsidR="002A71B8" w:rsidRPr="00DA238A" w:rsidRDefault="002A71B8" w:rsidP="00FE396A">
      <w:pPr>
        <w:pStyle w:val="Heading3noTOC"/>
      </w:pPr>
      <w:bookmarkStart w:id="92" w:name="_Toc94197867"/>
      <w:bookmarkStart w:id="93" w:name="_Toc126509253"/>
      <w:bookmarkStart w:id="94" w:name="_Toc130201027"/>
      <w:r w:rsidRPr="00DA238A">
        <w:t>Ash Beneficial Use Center</w:t>
      </w:r>
      <w:bookmarkEnd w:id="92"/>
      <w:bookmarkEnd w:id="93"/>
      <w:bookmarkEnd w:id="94"/>
      <w:r w:rsidRPr="00DA238A">
        <w:t xml:space="preserve"> </w:t>
      </w:r>
    </w:p>
    <w:p w14:paraId="1305FC57" w14:textId="3E259F47" w:rsidR="002A71B8" w:rsidRPr="00551362" w:rsidRDefault="002A71B8" w:rsidP="002D3EF7">
      <w:pPr>
        <w:spacing w:after="0" w:line="240" w:lineRule="auto"/>
        <w:rPr>
          <w:rFonts w:eastAsia="Times New Roman"/>
        </w:rPr>
      </w:pPr>
      <w:bookmarkStart w:id="95" w:name="_Hlk535655759"/>
      <w:r>
        <w:t>The</w:t>
      </w:r>
      <w:r w:rsidRPr="0084580B">
        <w:t xml:space="preserve"> Company</w:t>
      </w:r>
      <w:r>
        <w:t>,</w:t>
      </w:r>
      <w:r w:rsidRPr="0084580B">
        <w:t xml:space="preserve"> </w:t>
      </w:r>
      <w:r>
        <w:t xml:space="preserve">in partnership with EPRI and other utilities, has </w:t>
      </w:r>
      <w:r w:rsidRPr="0084580B">
        <w:t>develop</w:t>
      </w:r>
      <w:r>
        <w:t xml:space="preserve">ed </w:t>
      </w:r>
      <w:r w:rsidRPr="0084580B">
        <w:t>a center</w:t>
      </w:r>
      <w:r>
        <w:t>,</w:t>
      </w:r>
      <w:r w:rsidRPr="0084580B">
        <w:t xml:space="preserve"> </w:t>
      </w:r>
      <w:r>
        <w:t>located at Plant Bowen,</w:t>
      </w:r>
      <w:r w:rsidRPr="0084580B">
        <w:t xml:space="preserve"> for </w:t>
      </w:r>
      <w:r>
        <w:t>b</w:t>
      </w:r>
      <w:r w:rsidRPr="0084580B">
        <w:t xml:space="preserve">eneficial </w:t>
      </w:r>
      <w:r>
        <w:t>u</w:t>
      </w:r>
      <w:r w:rsidRPr="0084580B">
        <w:t xml:space="preserve">se of </w:t>
      </w:r>
      <w:r>
        <w:t>h</w:t>
      </w:r>
      <w:r w:rsidRPr="0084580B">
        <w:t>arvested CCR.</w:t>
      </w:r>
      <w:r>
        <w:t xml:space="preserve"> </w:t>
      </w:r>
      <w:r w:rsidRPr="12E428E8">
        <w:rPr>
          <w:rFonts w:eastAsia="Times New Roman"/>
        </w:rPr>
        <w:t>The</w:t>
      </w:r>
      <w:r w:rsidRPr="00264EA7" w:rsidDel="000A18B8">
        <w:rPr>
          <w:rFonts w:eastAsia="Times New Roman"/>
        </w:rPr>
        <w:t xml:space="preserve"> </w:t>
      </w:r>
      <w:r>
        <w:rPr>
          <w:rFonts w:eastAsia="Times New Roman"/>
        </w:rPr>
        <w:t xml:space="preserve">Ash Beneficial Use Center (“ABUC”) </w:t>
      </w:r>
      <w:r w:rsidRPr="00911162">
        <w:rPr>
          <w:rFonts w:eastAsia="Times New Roman"/>
        </w:rPr>
        <w:t xml:space="preserve">will strive to develop additional uses </w:t>
      </w:r>
      <w:r w:rsidR="00CD4ADC">
        <w:rPr>
          <w:rFonts w:eastAsia="Times New Roman"/>
        </w:rPr>
        <w:t xml:space="preserve">of CCR </w:t>
      </w:r>
      <w:r w:rsidRPr="00911162">
        <w:rPr>
          <w:rFonts w:eastAsia="Times New Roman"/>
        </w:rPr>
        <w:t>and better technologies to process ash for beneficial use</w:t>
      </w:r>
      <w:r w:rsidR="00AE6A26">
        <w:rPr>
          <w:rFonts w:eastAsia="Times New Roman"/>
        </w:rPr>
        <w:t xml:space="preserve">, which can help </w:t>
      </w:r>
      <w:r w:rsidRPr="00911162">
        <w:rPr>
          <w:rFonts w:eastAsia="Times New Roman"/>
        </w:rPr>
        <w:t>reduce future costs to CCR closure projects</w:t>
      </w:r>
      <w:r>
        <w:rPr>
          <w:rFonts w:eastAsia="Times New Roman"/>
        </w:rPr>
        <w:t xml:space="preserve"> and further open opportunities to reuse this byproduct</w:t>
      </w:r>
      <w:r w:rsidRPr="6A44F22A">
        <w:rPr>
          <w:rFonts w:eastAsia="Times New Roman"/>
        </w:rPr>
        <w:t>.</w:t>
      </w:r>
    </w:p>
    <w:p w14:paraId="67AE59F0" w14:textId="3A4F7493" w:rsidR="002A71B8" w:rsidRPr="00A00119" w:rsidRDefault="002A71B8" w:rsidP="002D3EF7">
      <w:pPr>
        <w:spacing w:after="0" w:line="240" w:lineRule="auto"/>
        <w:rPr>
          <w:rFonts w:cs="Arial"/>
        </w:rPr>
      </w:pPr>
      <w:r w:rsidRPr="00931504">
        <w:rPr>
          <w:rFonts w:cs="Arial"/>
        </w:rPr>
        <w:t>Th</w:t>
      </w:r>
      <w:r>
        <w:rPr>
          <w:rFonts w:cs="Arial"/>
        </w:rPr>
        <w:t>e</w:t>
      </w:r>
      <w:r w:rsidRPr="00931504">
        <w:rPr>
          <w:rFonts w:cs="Arial"/>
        </w:rPr>
        <w:t xml:space="preserve"> </w:t>
      </w:r>
      <w:r>
        <w:rPr>
          <w:rFonts w:cs="Arial"/>
        </w:rPr>
        <w:t>center</w:t>
      </w:r>
      <w:r w:rsidRPr="00931504">
        <w:rPr>
          <w:rFonts w:cs="Arial"/>
        </w:rPr>
        <w:t xml:space="preserve"> </w:t>
      </w:r>
      <w:r>
        <w:rPr>
          <w:rFonts w:cs="Arial"/>
        </w:rPr>
        <w:t>aims to develop</w:t>
      </w:r>
      <w:r w:rsidRPr="00931504">
        <w:rPr>
          <w:rFonts w:cs="Arial"/>
        </w:rPr>
        <w:t xml:space="preserve"> new technologies </w:t>
      </w:r>
      <w:r>
        <w:rPr>
          <w:rFonts w:cs="Arial"/>
        </w:rPr>
        <w:t xml:space="preserve">or processes </w:t>
      </w:r>
      <w:r w:rsidRPr="00931504">
        <w:rPr>
          <w:rFonts w:cs="Arial"/>
        </w:rPr>
        <w:t xml:space="preserve">that </w:t>
      </w:r>
      <w:r>
        <w:rPr>
          <w:rFonts w:cs="Arial"/>
        </w:rPr>
        <w:t>drive downward cost pressure associated with beneficial use</w:t>
      </w:r>
      <w:r w:rsidRPr="00EC2E02">
        <w:rPr>
          <w:rFonts w:cs="Arial"/>
        </w:rPr>
        <w:t xml:space="preserve"> </w:t>
      </w:r>
      <w:r>
        <w:rPr>
          <w:rFonts w:cs="Arial"/>
        </w:rPr>
        <w:t xml:space="preserve">and expand current and potential markets. In addition, technology developments or </w:t>
      </w:r>
      <w:r w:rsidRPr="31D88DFF">
        <w:t xml:space="preserve">enhancements to </w:t>
      </w:r>
      <w:r w:rsidR="00903946" w:rsidRPr="31D88DFF">
        <w:t>current beneficial use operations could ultimately allow Georgia Power to reduce the amount of CCR that is destined for storage in landfills</w:t>
      </w:r>
      <w:r w:rsidR="008E7921">
        <w:t xml:space="preserve"> </w:t>
      </w:r>
      <w:r>
        <w:rPr>
          <w:rFonts w:cs="Arial"/>
        </w:rPr>
        <w:t xml:space="preserve">or reclaim CCR already stored in landfills and ash ponds. This may result in </w:t>
      </w:r>
      <w:r w:rsidRPr="67F86674">
        <w:rPr>
          <w:rFonts w:cs="Arial"/>
        </w:rPr>
        <w:t>reduce</w:t>
      </w:r>
      <w:r>
        <w:rPr>
          <w:rFonts w:cs="Arial"/>
        </w:rPr>
        <w:t xml:space="preserve">d capital and O&amp;M costs for CCR management. The strategy associated with introducing additional beneficiated ash into the market, as well as limiting the quantity of CCR in landfills, benefits both current and future customers. </w:t>
      </w:r>
    </w:p>
    <w:bookmarkEnd w:id="95"/>
    <w:p w14:paraId="25C6B52C" w14:textId="4CF126E9" w:rsidR="0043408D" w:rsidRDefault="002A71B8" w:rsidP="002D3EF7">
      <w:pPr>
        <w:spacing w:after="0" w:line="240" w:lineRule="auto"/>
        <w:rPr>
          <w:rFonts w:cs="Arial"/>
        </w:rPr>
      </w:pPr>
      <w:r w:rsidRPr="7C8901C1">
        <w:rPr>
          <w:rFonts w:cs="Arial"/>
        </w:rPr>
        <w:t xml:space="preserve">The core capability of the center is pre-processing </w:t>
      </w:r>
      <w:r>
        <w:rPr>
          <w:rFonts w:cs="Arial"/>
        </w:rPr>
        <w:t>harvested</w:t>
      </w:r>
      <w:r w:rsidRPr="7C8901C1">
        <w:rPr>
          <w:rFonts w:cs="Arial"/>
        </w:rPr>
        <w:t xml:space="preserve"> ash for use in technology demonstrations. Pre-processing includes drying, classifying, storing and delivering the ash</w:t>
      </w:r>
      <w:r>
        <w:rPr>
          <w:rFonts w:cs="Arial"/>
        </w:rPr>
        <w:t xml:space="preserve"> for beneficial use</w:t>
      </w:r>
      <w:r w:rsidRPr="7C8901C1">
        <w:rPr>
          <w:rFonts w:cs="Arial"/>
        </w:rPr>
        <w:t>. The major mechanical components of the center were completed in February 2021</w:t>
      </w:r>
      <w:r>
        <w:rPr>
          <w:rFonts w:cs="Arial"/>
        </w:rPr>
        <w:t>,</w:t>
      </w:r>
      <w:r w:rsidRPr="7C8901C1">
        <w:rPr>
          <w:rFonts w:cs="Arial"/>
        </w:rPr>
        <w:t xml:space="preserve"> and </w:t>
      </w:r>
      <w:r>
        <w:rPr>
          <w:rFonts w:cs="Arial"/>
        </w:rPr>
        <w:t>full commissioning and acceptance testing were completed in July 2021.</w:t>
      </w:r>
      <w:r w:rsidRPr="7C8901C1">
        <w:rPr>
          <w:rFonts w:cs="Arial"/>
        </w:rPr>
        <w:t xml:space="preserve"> </w:t>
      </w:r>
    </w:p>
    <w:p w14:paraId="4C2F20E5" w14:textId="77777777" w:rsidR="0043408D" w:rsidRDefault="0043408D" w:rsidP="002D3EF7">
      <w:pPr>
        <w:spacing w:after="0" w:line="240" w:lineRule="auto"/>
        <w:rPr>
          <w:rFonts w:cs="Arial"/>
        </w:rPr>
      </w:pPr>
      <w:r w:rsidRPr="00E951A3">
        <w:rPr>
          <w:rFonts w:cs="Arial"/>
        </w:rPr>
        <w:t>In September 2021,</w:t>
      </w:r>
      <w:r>
        <w:rPr>
          <w:rFonts w:cs="Arial"/>
        </w:rPr>
        <w:t xml:space="preserve"> the ABUC was used to execute part of a critical mineral extraction project funded by the U.S Department of Defense.</w:t>
      </w:r>
      <w:r w:rsidRPr="00E951A3">
        <w:rPr>
          <w:rFonts w:cs="Arial"/>
        </w:rPr>
        <w:t xml:space="preserve"> </w:t>
      </w:r>
      <w:r>
        <w:rPr>
          <w:rFonts w:cs="Arial"/>
        </w:rPr>
        <w:t>A</w:t>
      </w:r>
      <w:r w:rsidRPr="00E951A3">
        <w:rPr>
          <w:rFonts w:cs="Arial"/>
        </w:rPr>
        <w:t>pproximately 75 tons of ash were harvested from a Southern Company ash pond in Alabama</w:t>
      </w:r>
      <w:r>
        <w:rPr>
          <w:rFonts w:cs="Arial"/>
        </w:rPr>
        <w:t>, and the</w:t>
      </w:r>
      <w:r w:rsidRPr="00E951A3">
        <w:rPr>
          <w:rFonts w:cs="Arial"/>
        </w:rPr>
        <w:t xml:space="preserve"> ash was screened, dried and classified using the ABUC infrastructure. Carbon was removed from the ash using a </w:t>
      </w:r>
      <w:proofErr w:type="spellStart"/>
      <w:r w:rsidRPr="00E951A3">
        <w:rPr>
          <w:rFonts w:cs="Arial"/>
        </w:rPr>
        <w:t>triboelectrostatic</w:t>
      </w:r>
      <w:proofErr w:type="spellEnd"/>
      <w:r w:rsidRPr="00E951A3">
        <w:rPr>
          <w:rFonts w:cs="Arial"/>
        </w:rPr>
        <w:t xml:space="preserve"> belt separator. </w:t>
      </w:r>
      <w:r>
        <w:rPr>
          <w:rFonts w:cs="Arial"/>
        </w:rPr>
        <w:t>Lessons learned during this project</w:t>
      </w:r>
      <w:r w:rsidRPr="00E951A3">
        <w:rPr>
          <w:rFonts w:cs="Arial"/>
        </w:rPr>
        <w:t xml:space="preserve"> will allow Georgia Power to better understand process performance and energy costs for potential future beneficiation projects. </w:t>
      </w:r>
    </w:p>
    <w:p w14:paraId="470DDCA3" w14:textId="3583E4A2" w:rsidR="0043408D" w:rsidRDefault="0043408D" w:rsidP="002D3EF7">
      <w:pPr>
        <w:spacing w:after="0" w:line="240" w:lineRule="auto"/>
        <w:rPr>
          <w:rFonts w:cs="Arial"/>
        </w:rPr>
      </w:pPr>
      <w:r>
        <w:rPr>
          <w:rStyle w:val="normaltextrun"/>
          <w:color w:val="000000"/>
          <w:shd w:val="clear" w:color="auto" w:fill="FFFFFF"/>
        </w:rPr>
        <w:t>Georgia Power and EPRI have met with several technology developers to discuss potential demonstrations at the ABUC. Technologies under consideration include</w:t>
      </w:r>
      <w:r w:rsidR="00B64108">
        <w:rPr>
          <w:rStyle w:val="normaltextrun"/>
          <w:color w:val="000000"/>
          <w:shd w:val="clear" w:color="auto" w:fill="FFFFFF"/>
        </w:rPr>
        <w:t>:</w:t>
      </w:r>
      <w:r>
        <w:rPr>
          <w:rStyle w:val="normaltextrun"/>
          <w:color w:val="000000"/>
          <w:shd w:val="clear" w:color="auto" w:fill="FFFFFF"/>
        </w:rPr>
        <w:t xml:space="preserve"> lower cost non-thermal</w:t>
      </w:r>
      <w:r w:rsidR="004842A0">
        <w:rPr>
          <w:rStyle w:val="normaltextrun"/>
          <w:color w:val="000000"/>
          <w:shd w:val="clear" w:color="auto" w:fill="FFFFFF"/>
        </w:rPr>
        <w:t xml:space="preserve"> carbon separation</w:t>
      </w:r>
      <w:r w:rsidR="00F343C1">
        <w:rPr>
          <w:rStyle w:val="normaltextrun"/>
          <w:color w:val="000000"/>
          <w:shd w:val="clear" w:color="auto" w:fill="FFFFFF"/>
        </w:rPr>
        <w:t>; lower cost</w:t>
      </w:r>
      <w:r w:rsidR="005B56CD">
        <w:rPr>
          <w:rStyle w:val="normaltextrun"/>
          <w:color w:val="000000"/>
          <w:shd w:val="clear" w:color="auto" w:fill="FFFFFF"/>
        </w:rPr>
        <w:t xml:space="preserve"> non-thermal</w:t>
      </w:r>
      <w:r w:rsidR="004842A0">
        <w:rPr>
          <w:rStyle w:val="normaltextrun"/>
          <w:color w:val="000000"/>
          <w:shd w:val="clear" w:color="auto" w:fill="FFFFFF"/>
        </w:rPr>
        <w:t xml:space="preserve"> </w:t>
      </w:r>
      <w:r>
        <w:rPr>
          <w:rStyle w:val="normaltextrun"/>
          <w:color w:val="000000"/>
          <w:shd w:val="clear" w:color="auto" w:fill="FFFFFF"/>
        </w:rPr>
        <w:t>ash drying</w:t>
      </w:r>
      <w:r w:rsidR="00EB546A">
        <w:rPr>
          <w:rStyle w:val="normaltextrun"/>
          <w:color w:val="000000"/>
          <w:shd w:val="clear" w:color="auto" w:fill="FFFFFF"/>
        </w:rPr>
        <w:t>;</w:t>
      </w:r>
      <w:r>
        <w:rPr>
          <w:rStyle w:val="normaltextrun"/>
          <w:color w:val="000000"/>
          <w:shd w:val="clear" w:color="auto" w:fill="FFFFFF"/>
        </w:rPr>
        <w:t xml:space="preserve"> </w:t>
      </w:r>
      <w:r w:rsidR="00DC7351">
        <w:rPr>
          <w:rStyle w:val="normaltextrun"/>
          <w:color w:val="000000"/>
          <w:shd w:val="clear" w:color="auto" w:fill="FFFFFF"/>
        </w:rPr>
        <w:t xml:space="preserve">evaluating </w:t>
      </w:r>
      <w:r w:rsidR="00ED773F">
        <w:rPr>
          <w:rStyle w:val="normaltextrun"/>
          <w:color w:val="000000"/>
          <w:shd w:val="clear" w:color="auto" w:fill="FFFFFF"/>
        </w:rPr>
        <w:t xml:space="preserve">energy efficient </w:t>
      </w:r>
      <w:r w:rsidR="00DC7351">
        <w:rPr>
          <w:rStyle w:val="normaltextrun"/>
          <w:color w:val="000000"/>
          <w:shd w:val="clear" w:color="auto" w:fill="FFFFFF"/>
        </w:rPr>
        <w:t>grinding</w:t>
      </w:r>
      <w:r w:rsidR="00ED773F">
        <w:rPr>
          <w:rStyle w:val="normaltextrun"/>
          <w:color w:val="000000"/>
          <w:shd w:val="clear" w:color="auto" w:fill="FFFFFF"/>
        </w:rPr>
        <w:t xml:space="preserve"> </w:t>
      </w:r>
      <w:r w:rsidR="007D03D1">
        <w:rPr>
          <w:rStyle w:val="normaltextrun"/>
          <w:color w:val="000000"/>
          <w:shd w:val="clear" w:color="auto" w:fill="FFFFFF"/>
        </w:rPr>
        <w:t xml:space="preserve">systems </w:t>
      </w:r>
      <w:r w:rsidR="008348C8">
        <w:rPr>
          <w:rStyle w:val="normaltextrun"/>
          <w:color w:val="000000"/>
          <w:shd w:val="clear" w:color="auto" w:fill="FFFFFF"/>
        </w:rPr>
        <w:t>to</w:t>
      </w:r>
      <w:r w:rsidR="00ED791D">
        <w:rPr>
          <w:rStyle w:val="normaltextrun"/>
          <w:color w:val="000000"/>
          <w:shd w:val="clear" w:color="auto" w:fill="FFFFFF"/>
        </w:rPr>
        <w:t xml:space="preserve"> enable </w:t>
      </w:r>
      <w:r w:rsidR="00A31A65">
        <w:rPr>
          <w:rStyle w:val="normaltextrun"/>
          <w:color w:val="000000"/>
          <w:shd w:val="clear" w:color="auto" w:fill="FFFFFF"/>
        </w:rPr>
        <w:t xml:space="preserve">beneficial use of </w:t>
      </w:r>
      <w:r w:rsidR="00BF7BC5">
        <w:rPr>
          <w:rStyle w:val="normaltextrun"/>
          <w:color w:val="000000"/>
          <w:shd w:val="clear" w:color="auto" w:fill="FFFFFF"/>
        </w:rPr>
        <w:t>currently unusable</w:t>
      </w:r>
      <w:r w:rsidR="00C24198">
        <w:rPr>
          <w:rStyle w:val="normaltextrun"/>
          <w:color w:val="000000"/>
          <w:shd w:val="clear" w:color="auto" w:fill="FFFFFF"/>
        </w:rPr>
        <w:t xml:space="preserve"> </w:t>
      </w:r>
      <w:r w:rsidR="00314CEB">
        <w:rPr>
          <w:rStyle w:val="normaltextrun"/>
          <w:color w:val="000000"/>
          <w:shd w:val="clear" w:color="auto" w:fill="FFFFFF"/>
        </w:rPr>
        <w:t xml:space="preserve">volumes of </w:t>
      </w:r>
      <w:r w:rsidR="00C847AB">
        <w:rPr>
          <w:rStyle w:val="normaltextrun"/>
          <w:color w:val="000000"/>
          <w:shd w:val="clear" w:color="auto" w:fill="FFFFFF"/>
        </w:rPr>
        <w:t>co</w:t>
      </w:r>
      <w:r w:rsidR="00686F05">
        <w:rPr>
          <w:rStyle w:val="normaltextrun"/>
          <w:color w:val="000000"/>
          <w:shd w:val="clear" w:color="auto" w:fill="FFFFFF"/>
        </w:rPr>
        <w:t>a</w:t>
      </w:r>
      <w:r w:rsidR="002A63C3">
        <w:rPr>
          <w:rStyle w:val="normaltextrun"/>
          <w:color w:val="000000"/>
          <w:shd w:val="clear" w:color="auto" w:fill="FFFFFF"/>
        </w:rPr>
        <w:t>r</w:t>
      </w:r>
      <w:r w:rsidR="00C847AB">
        <w:rPr>
          <w:rStyle w:val="normaltextrun"/>
          <w:color w:val="000000"/>
          <w:shd w:val="clear" w:color="auto" w:fill="FFFFFF"/>
        </w:rPr>
        <w:t>se</w:t>
      </w:r>
      <w:r w:rsidR="003D098B">
        <w:rPr>
          <w:rStyle w:val="normaltextrun"/>
          <w:color w:val="000000"/>
          <w:shd w:val="clear" w:color="auto" w:fill="FFFFFF"/>
        </w:rPr>
        <w:t xml:space="preserve"> ash</w:t>
      </w:r>
      <w:r w:rsidR="00C24198">
        <w:rPr>
          <w:rStyle w:val="normaltextrun"/>
          <w:color w:val="000000"/>
          <w:shd w:val="clear" w:color="auto" w:fill="FFFFFF"/>
        </w:rPr>
        <w:t xml:space="preserve"> in</w:t>
      </w:r>
      <w:r w:rsidR="000903B5">
        <w:rPr>
          <w:rStyle w:val="normaltextrun"/>
          <w:color w:val="000000"/>
          <w:shd w:val="clear" w:color="auto" w:fill="FFFFFF"/>
        </w:rPr>
        <w:t xml:space="preserve"> </w:t>
      </w:r>
      <w:r w:rsidR="000F506C">
        <w:rPr>
          <w:rStyle w:val="normaltextrun"/>
          <w:color w:val="000000"/>
          <w:shd w:val="clear" w:color="auto" w:fill="FFFFFF"/>
        </w:rPr>
        <w:t>the</w:t>
      </w:r>
      <w:r w:rsidR="000903B5">
        <w:rPr>
          <w:rStyle w:val="normaltextrun"/>
          <w:color w:val="000000"/>
          <w:shd w:val="clear" w:color="auto" w:fill="FFFFFF"/>
        </w:rPr>
        <w:t xml:space="preserve"> </w:t>
      </w:r>
      <w:r w:rsidR="00C24198">
        <w:rPr>
          <w:rStyle w:val="normaltextrun"/>
          <w:color w:val="000000"/>
          <w:shd w:val="clear" w:color="auto" w:fill="FFFFFF"/>
        </w:rPr>
        <w:t>concrete</w:t>
      </w:r>
      <w:r w:rsidR="006C7A64">
        <w:rPr>
          <w:rStyle w:val="normaltextrun"/>
          <w:color w:val="000000"/>
          <w:shd w:val="clear" w:color="auto" w:fill="FFFFFF"/>
        </w:rPr>
        <w:t xml:space="preserve"> market</w:t>
      </w:r>
      <w:r w:rsidR="009E4E5C">
        <w:rPr>
          <w:rStyle w:val="normaltextrun"/>
          <w:color w:val="000000"/>
          <w:shd w:val="clear" w:color="auto" w:fill="FFFFFF"/>
        </w:rPr>
        <w:t xml:space="preserve">; </w:t>
      </w:r>
      <w:r>
        <w:rPr>
          <w:rStyle w:val="normaltextrun"/>
          <w:color w:val="000000"/>
          <w:shd w:val="clear" w:color="auto" w:fill="FFFFFF"/>
        </w:rPr>
        <w:t xml:space="preserve">production of </w:t>
      </w:r>
      <w:r w:rsidR="001D4A0E">
        <w:rPr>
          <w:rStyle w:val="normaltextrun"/>
          <w:color w:val="000000"/>
          <w:shd w:val="clear" w:color="auto" w:fill="FFFFFF"/>
        </w:rPr>
        <w:t xml:space="preserve">light weight </w:t>
      </w:r>
      <w:r>
        <w:rPr>
          <w:rStyle w:val="normaltextrun"/>
          <w:color w:val="000000"/>
          <w:shd w:val="clear" w:color="auto" w:fill="FFFFFF"/>
        </w:rPr>
        <w:t xml:space="preserve">aggregate </w:t>
      </w:r>
      <w:r w:rsidR="00D230FA">
        <w:rPr>
          <w:rStyle w:val="normaltextrun"/>
          <w:color w:val="000000"/>
          <w:shd w:val="clear" w:color="auto" w:fill="FFFFFF"/>
        </w:rPr>
        <w:t xml:space="preserve">from ponded ash </w:t>
      </w:r>
      <w:r>
        <w:rPr>
          <w:rStyle w:val="normaltextrun"/>
          <w:color w:val="000000"/>
          <w:shd w:val="clear" w:color="auto" w:fill="FFFFFF"/>
        </w:rPr>
        <w:t>for concrete</w:t>
      </w:r>
      <w:r w:rsidR="008067BC">
        <w:rPr>
          <w:rStyle w:val="normaltextrun"/>
          <w:color w:val="000000"/>
          <w:shd w:val="clear" w:color="auto" w:fill="FFFFFF"/>
        </w:rPr>
        <w:t xml:space="preserve"> </w:t>
      </w:r>
      <w:r w:rsidR="006C7A64">
        <w:rPr>
          <w:rStyle w:val="normaltextrun"/>
          <w:color w:val="000000"/>
          <w:shd w:val="clear" w:color="auto" w:fill="FFFFFF"/>
        </w:rPr>
        <w:t>and other construction applications</w:t>
      </w:r>
      <w:r w:rsidR="00466ADD">
        <w:rPr>
          <w:rStyle w:val="normaltextrun"/>
          <w:color w:val="000000"/>
          <w:shd w:val="clear" w:color="auto" w:fill="FFFFFF"/>
        </w:rPr>
        <w:t>; production of</w:t>
      </w:r>
      <w:r w:rsidR="00A2780F">
        <w:rPr>
          <w:rStyle w:val="normaltextrun"/>
          <w:color w:val="000000"/>
          <w:shd w:val="clear" w:color="auto" w:fill="FFFFFF"/>
        </w:rPr>
        <w:t xml:space="preserve"> </w:t>
      </w:r>
      <w:r w:rsidR="00977420">
        <w:rPr>
          <w:rStyle w:val="normaltextrun"/>
          <w:color w:val="000000"/>
          <w:shd w:val="clear" w:color="auto" w:fill="FFFFFF"/>
        </w:rPr>
        <w:t>coal</w:t>
      </w:r>
      <w:r w:rsidR="00B32628">
        <w:rPr>
          <w:rStyle w:val="normaltextrun"/>
          <w:color w:val="000000"/>
          <w:shd w:val="clear" w:color="auto" w:fill="FFFFFF"/>
        </w:rPr>
        <w:t xml:space="preserve"> ash </w:t>
      </w:r>
      <w:r w:rsidR="00A2780F">
        <w:rPr>
          <w:rStyle w:val="normaltextrun"/>
          <w:color w:val="000000"/>
          <w:shd w:val="clear" w:color="auto" w:fill="FFFFFF"/>
        </w:rPr>
        <w:t xml:space="preserve">geopolymer </w:t>
      </w:r>
      <w:r w:rsidR="00B32628">
        <w:rPr>
          <w:rStyle w:val="normaltextrun"/>
          <w:color w:val="000000"/>
          <w:shd w:val="clear" w:color="auto" w:fill="FFFFFF"/>
        </w:rPr>
        <w:t>products</w:t>
      </w:r>
      <w:r w:rsidR="00D4036D">
        <w:rPr>
          <w:rStyle w:val="normaltextrun"/>
          <w:color w:val="000000"/>
          <w:shd w:val="clear" w:color="auto" w:fill="FFFFFF"/>
        </w:rPr>
        <w:t>, a potential high volume and high value use case</w:t>
      </w:r>
      <w:r w:rsidR="00B32628">
        <w:rPr>
          <w:rStyle w:val="normaltextrun"/>
          <w:color w:val="000000"/>
          <w:shd w:val="clear" w:color="auto" w:fill="FFFFFF"/>
        </w:rPr>
        <w:t xml:space="preserve">; </w:t>
      </w:r>
      <w:r w:rsidR="00A655F9">
        <w:rPr>
          <w:rStyle w:val="normaltextrun"/>
          <w:color w:val="000000"/>
          <w:shd w:val="clear" w:color="auto" w:fill="FFFFFF"/>
        </w:rPr>
        <w:t xml:space="preserve">and </w:t>
      </w:r>
      <w:r w:rsidR="00B32628">
        <w:rPr>
          <w:rStyle w:val="normaltextrun"/>
          <w:color w:val="000000"/>
          <w:shd w:val="clear" w:color="auto" w:fill="FFFFFF"/>
        </w:rPr>
        <w:t>production of ferric chloride from</w:t>
      </w:r>
      <w:r w:rsidR="009E4589">
        <w:rPr>
          <w:rStyle w:val="normaltextrun"/>
          <w:color w:val="000000"/>
          <w:shd w:val="clear" w:color="auto" w:fill="FFFFFF"/>
        </w:rPr>
        <w:t xml:space="preserve"> coal ash for use in</w:t>
      </w:r>
      <w:r w:rsidR="008F6293">
        <w:rPr>
          <w:rStyle w:val="normaltextrun"/>
          <w:color w:val="000000"/>
          <w:shd w:val="clear" w:color="auto" w:fill="FFFFFF"/>
        </w:rPr>
        <w:t xml:space="preserve"> water treatment</w:t>
      </w:r>
      <w:r w:rsidR="000E02D2">
        <w:rPr>
          <w:rStyle w:val="normaltextrun"/>
          <w:color w:val="000000"/>
          <w:shd w:val="clear" w:color="auto" w:fill="FFFFFF"/>
        </w:rPr>
        <w:t xml:space="preserve">, replacing </w:t>
      </w:r>
      <w:r w:rsidR="00BD4E51">
        <w:rPr>
          <w:rStyle w:val="normaltextrun"/>
          <w:color w:val="000000"/>
          <w:shd w:val="clear" w:color="auto" w:fill="FFFFFF"/>
        </w:rPr>
        <w:t xml:space="preserve">conventional </w:t>
      </w:r>
      <w:r w:rsidR="000E02D2">
        <w:rPr>
          <w:rStyle w:val="normaltextrun"/>
          <w:color w:val="000000"/>
          <w:shd w:val="clear" w:color="auto" w:fill="FFFFFF"/>
        </w:rPr>
        <w:t>commercially source</w:t>
      </w:r>
      <w:r w:rsidR="000979EC">
        <w:rPr>
          <w:rStyle w:val="normaltextrun"/>
          <w:color w:val="000000"/>
          <w:shd w:val="clear" w:color="auto" w:fill="FFFFFF"/>
        </w:rPr>
        <w:t>d</w:t>
      </w:r>
      <w:r w:rsidR="00291AC9">
        <w:rPr>
          <w:rStyle w:val="normaltextrun"/>
          <w:color w:val="000000"/>
          <w:shd w:val="clear" w:color="auto" w:fill="FFFFFF"/>
        </w:rPr>
        <w:t xml:space="preserve"> material</w:t>
      </w:r>
      <w:r w:rsidR="008F6293">
        <w:rPr>
          <w:rStyle w:val="normaltextrun"/>
          <w:color w:val="000000"/>
          <w:shd w:val="clear" w:color="auto" w:fill="FFFFFF"/>
        </w:rPr>
        <w:t>.</w:t>
      </w:r>
      <w:r>
        <w:rPr>
          <w:rStyle w:val="normaltextrun"/>
          <w:color w:val="000000"/>
          <w:shd w:val="clear" w:color="auto" w:fill="FFFFFF"/>
        </w:rPr>
        <w:t xml:space="preserve"> Increased knowledge of these emerging technologies and potential technology evaluations at ABUC will help Georgia Power to </w:t>
      </w:r>
      <w:r w:rsidR="0024584B">
        <w:rPr>
          <w:rStyle w:val="normaltextrun"/>
          <w:color w:val="000000"/>
          <w:shd w:val="clear" w:color="auto" w:fill="FFFFFF"/>
        </w:rPr>
        <w:t>optimize</w:t>
      </w:r>
      <w:r w:rsidR="00AC3F2C">
        <w:rPr>
          <w:rStyle w:val="normaltextrun"/>
          <w:color w:val="000000"/>
          <w:shd w:val="clear" w:color="auto" w:fill="FFFFFF"/>
        </w:rPr>
        <w:t xml:space="preserve"> current beneficial use </w:t>
      </w:r>
      <w:r w:rsidR="005B5EEF">
        <w:rPr>
          <w:rStyle w:val="normaltextrun"/>
          <w:color w:val="000000"/>
          <w:shd w:val="clear" w:color="auto" w:fill="FFFFFF"/>
        </w:rPr>
        <w:t>operations and</w:t>
      </w:r>
      <w:r w:rsidR="002F62A5">
        <w:rPr>
          <w:rStyle w:val="normaltextrun"/>
          <w:color w:val="000000"/>
          <w:shd w:val="clear" w:color="auto" w:fill="FFFFFF"/>
        </w:rPr>
        <w:t xml:space="preserve"> </w:t>
      </w:r>
      <w:r w:rsidR="00E34B0F">
        <w:rPr>
          <w:rStyle w:val="normaltextrun"/>
          <w:color w:val="000000"/>
          <w:shd w:val="clear" w:color="auto" w:fill="FFFFFF"/>
        </w:rPr>
        <w:t>p</w:t>
      </w:r>
      <w:r w:rsidR="0044743F">
        <w:rPr>
          <w:rStyle w:val="normaltextrun"/>
          <w:color w:val="000000"/>
          <w:shd w:val="clear" w:color="auto" w:fill="FFFFFF"/>
        </w:rPr>
        <w:t>erform informed ass</w:t>
      </w:r>
      <w:r w:rsidR="00623ED6">
        <w:rPr>
          <w:rStyle w:val="normaltextrun"/>
          <w:color w:val="000000"/>
          <w:shd w:val="clear" w:color="auto" w:fill="FFFFFF"/>
        </w:rPr>
        <w:t>essments</w:t>
      </w:r>
      <w:r w:rsidR="0092563C">
        <w:rPr>
          <w:rStyle w:val="normaltextrun"/>
          <w:color w:val="000000"/>
          <w:shd w:val="clear" w:color="auto" w:fill="FFFFFF"/>
        </w:rPr>
        <w:t xml:space="preserve"> on implementing new commercial </w:t>
      </w:r>
      <w:r w:rsidR="0043594A">
        <w:rPr>
          <w:rStyle w:val="normaltextrun"/>
          <w:color w:val="000000"/>
          <w:shd w:val="clear" w:color="auto" w:fill="FFFFFF"/>
        </w:rPr>
        <w:t xml:space="preserve">beneficial use </w:t>
      </w:r>
      <w:r w:rsidR="0092563C">
        <w:rPr>
          <w:rStyle w:val="normaltextrun"/>
          <w:color w:val="000000"/>
          <w:shd w:val="clear" w:color="auto" w:fill="FFFFFF"/>
        </w:rPr>
        <w:t>opportunities</w:t>
      </w:r>
      <w:r w:rsidR="0059485C">
        <w:rPr>
          <w:rStyle w:val="normaltextrun"/>
          <w:color w:val="000000"/>
          <w:shd w:val="clear" w:color="auto" w:fill="FFFFFF"/>
        </w:rPr>
        <w:t>.</w:t>
      </w:r>
    </w:p>
    <w:p w14:paraId="397FB328" w14:textId="3109B2B6" w:rsidR="0043408D" w:rsidRDefault="0043408D" w:rsidP="002D3EF7">
      <w:pPr>
        <w:spacing w:after="0" w:line="240" w:lineRule="auto"/>
        <w:rPr>
          <w:rFonts w:cs="Arial"/>
          <w:color w:val="171717" w:themeColor="background2" w:themeShade="1A"/>
        </w:rPr>
      </w:pPr>
      <w:r w:rsidRPr="00CA2841">
        <w:rPr>
          <w:rFonts w:cs="Arial"/>
          <w:color w:val="171717" w:themeColor="background2" w:themeShade="1A"/>
        </w:rPr>
        <w:t xml:space="preserve">Additionally, Georgia Power and Southern Company are participants </w:t>
      </w:r>
      <w:r>
        <w:rPr>
          <w:rFonts w:cs="Arial"/>
          <w:color w:val="171717" w:themeColor="background2" w:themeShade="1A"/>
        </w:rPr>
        <w:t>in</w:t>
      </w:r>
      <w:r w:rsidRPr="00CA2841">
        <w:rPr>
          <w:rFonts w:cs="Arial"/>
          <w:color w:val="171717" w:themeColor="background2" w:themeShade="1A"/>
        </w:rPr>
        <w:t xml:space="preserve"> </w:t>
      </w:r>
      <w:r>
        <w:rPr>
          <w:rFonts w:cs="Arial"/>
          <w:color w:val="171717" w:themeColor="background2" w:themeShade="1A"/>
        </w:rPr>
        <w:t xml:space="preserve">the </w:t>
      </w:r>
      <w:r w:rsidR="00E3336B">
        <w:rPr>
          <w:rFonts w:cs="Arial"/>
          <w:color w:val="171717" w:themeColor="background2" w:themeShade="1A"/>
        </w:rPr>
        <w:t>DOE</w:t>
      </w:r>
      <w:r>
        <w:rPr>
          <w:rFonts w:cs="Arial"/>
          <w:color w:val="171717" w:themeColor="background2" w:themeShade="1A"/>
        </w:rPr>
        <w:t>’s</w:t>
      </w:r>
      <w:r w:rsidRPr="00CA2841">
        <w:rPr>
          <w:rFonts w:cs="Arial"/>
          <w:color w:val="171717" w:themeColor="background2" w:themeShade="1A"/>
        </w:rPr>
        <w:t xml:space="preserve"> Carbon Ore, Rare Earths and Critical Minerals (</w:t>
      </w:r>
      <w:r>
        <w:rPr>
          <w:rFonts w:cs="Arial"/>
          <w:color w:val="171717" w:themeColor="background2" w:themeShade="1A"/>
        </w:rPr>
        <w:t>“</w:t>
      </w:r>
      <w:r w:rsidRPr="00CA2841">
        <w:rPr>
          <w:rFonts w:cs="Arial"/>
          <w:color w:val="171717" w:themeColor="background2" w:themeShade="1A"/>
        </w:rPr>
        <w:t>CORE-CM</w:t>
      </w:r>
      <w:r>
        <w:rPr>
          <w:rFonts w:cs="Arial"/>
          <w:color w:val="171717" w:themeColor="background2" w:themeShade="1A"/>
        </w:rPr>
        <w:t>”</w:t>
      </w:r>
      <w:r w:rsidRPr="00CA2841">
        <w:rPr>
          <w:rFonts w:cs="Arial"/>
          <w:color w:val="171717" w:themeColor="background2" w:themeShade="1A"/>
        </w:rPr>
        <w:t xml:space="preserve">) Initiative with the goal of </w:t>
      </w:r>
      <w:r>
        <w:rPr>
          <w:rFonts w:cs="Arial"/>
          <w:color w:val="171717" w:themeColor="background2" w:themeShade="1A"/>
        </w:rPr>
        <w:t xml:space="preserve">evaluating coal ash as a domestic source for rare earth elements and critical minerals and </w:t>
      </w:r>
      <w:r w:rsidRPr="00CA2841">
        <w:rPr>
          <w:rFonts w:cs="Arial"/>
          <w:color w:val="171717" w:themeColor="background2" w:themeShade="1A"/>
        </w:rPr>
        <w:t>driving regional economic development to establish domestic supply chain</w:t>
      </w:r>
      <w:r>
        <w:rPr>
          <w:rFonts w:cs="Arial"/>
          <w:color w:val="171717" w:themeColor="background2" w:themeShade="1A"/>
        </w:rPr>
        <w:t>s.</w:t>
      </w:r>
    </w:p>
    <w:p w14:paraId="6AF3BBE9" w14:textId="581BE854" w:rsidR="00D7414D" w:rsidRPr="0073051D" w:rsidRDefault="00D7414D" w:rsidP="00D7414D">
      <w:pPr>
        <w:spacing w:after="0" w:line="240" w:lineRule="auto"/>
        <w:rPr>
          <w:rStyle w:val="normaltextrun"/>
          <w:color w:val="000000"/>
          <w:shd w:val="clear" w:color="auto" w:fill="FFFFFF"/>
        </w:rPr>
      </w:pPr>
      <w:r w:rsidRPr="3BD66A39">
        <w:rPr>
          <w:rStyle w:val="normaltextrun"/>
          <w:color w:val="000000" w:themeColor="text1"/>
        </w:rPr>
        <w:t xml:space="preserve">Looking ahead to the 2025-2028 timeframe, the Company plans to invest in upgrades at </w:t>
      </w:r>
      <w:r w:rsidR="00CA52BC" w:rsidRPr="3BD66A39">
        <w:rPr>
          <w:rStyle w:val="normaltextrun"/>
          <w:color w:val="000000" w:themeColor="text1"/>
        </w:rPr>
        <w:t xml:space="preserve">the </w:t>
      </w:r>
      <w:r w:rsidR="00544DAF" w:rsidRPr="3BD66A39">
        <w:rPr>
          <w:rStyle w:val="normaltextrun"/>
          <w:color w:val="000000" w:themeColor="text1"/>
        </w:rPr>
        <w:t>ABUC</w:t>
      </w:r>
      <w:r w:rsidRPr="3BD66A39">
        <w:rPr>
          <w:rStyle w:val="normaltextrun"/>
          <w:color w:val="000000" w:themeColor="text1"/>
        </w:rPr>
        <w:t xml:space="preserve"> to further enhance its capabilities. Specific initiatives will involve general maintenance and repairs, </w:t>
      </w:r>
      <w:r w:rsidRPr="3BD66A39">
        <w:rPr>
          <w:rStyle w:val="normaltextrun"/>
          <w:color w:val="000000" w:themeColor="text1"/>
        </w:rPr>
        <w:lastRenderedPageBreak/>
        <w:t xml:space="preserve">installation of pilot-scale grinding equipment, and installing additional storage capacity for ash samples. Two pilot projects are also anticipated for this time frame: ferric-chloride production from CCR and carbon reduction using froth flotation. </w:t>
      </w:r>
      <w:r w:rsidRPr="3BD66A39">
        <w:rPr>
          <w:color w:val="000000" w:themeColor="text1"/>
        </w:rPr>
        <w:t>These upgrades and projects will position ABUC as a leading center for coal ash research and development, reinforcing the Company's commitment to innovative and sustainable CCR management practices.</w:t>
      </w:r>
    </w:p>
    <w:p w14:paraId="28E88F80" w14:textId="02DFA72D" w:rsidR="00AE6A26" w:rsidRPr="00DA238A" w:rsidRDefault="00AE6A26" w:rsidP="00FE396A">
      <w:pPr>
        <w:pStyle w:val="Heading3noTOC"/>
      </w:pPr>
      <w:bookmarkStart w:id="96" w:name="_Toc130201028"/>
      <w:r w:rsidRPr="00DA238A">
        <w:t>Carbon Emissions Research &amp; Development</w:t>
      </w:r>
      <w:bookmarkEnd w:id="96"/>
      <w:r w:rsidRPr="00DA238A">
        <w:t xml:space="preserve"> </w:t>
      </w:r>
    </w:p>
    <w:p w14:paraId="5EB0A056" w14:textId="28E89552" w:rsidR="00282273" w:rsidRPr="00FE396A" w:rsidRDefault="00282273" w:rsidP="00FE396A">
      <w:r w:rsidRPr="00FE396A">
        <w:t>The National Carbon Capture Center</w:t>
      </w:r>
      <w:r w:rsidR="003018EE" w:rsidRPr="00FE396A">
        <w:t xml:space="preserve"> (“NCCC”)</w:t>
      </w:r>
      <w:r w:rsidRPr="00FE396A">
        <w:t>, managed and operated by Southern Company</w:t>
      </w:r>
      <w:r w:rsidR="00065CC3" w:rsidRPr="00FE396A">
        <w:t xml:space="preserve"> and located in Wilsonville, Alabama</w:t>
      </w:r>
      <w:r w:rsidRPr="00FE396A">
        <w:t>, is working to accelerate the commercialization of advanced technologies to reduce greenhouse gas emissions. The NCCC was created in partnership with the DOE in 2009 and has worked with over 30 government, university</w:t>
      </w:r>
      <w:r w:rsidR="00EC2F62" w:rsidRPr="00FE396A">
        <w:t>,</w:t>
      </w:r>
      <w:r w:rsidRPr="00FE396A">
        <w:t xml:space="preserve"> and research organizations from seven countries. </w:t>
      </w:r>
      <w:r w:rsidR="00AE4993" w:rsidRPr="00FE396A">
        <w:t xml:space="preserve">The NCCC serves as </w:t>
      </w:r>
      <w:r w:rsidRPr="00FE396A">
        <w:t>a unique test bed for third-party developers</w:t>
      </w:r>
      <w:r w:rsidR="00AE4993" w:rsidRPr="00FE396A">
        <w:t xml:space="preserve"> to help</w:t>
      </w:r>
      <w:r w:rsidRPr="00FE396A">
        <w:t xml:space="preserve"> bridge the gap between laboratory research and large-scale demonstrations</w:t>
      </w:r>
      <w:r w:rsidR="00AE4993" w:rsidRPr="00FE396A">
        <w:t xml:space="preserve"> to evaluate promising technologies for future commercial deployment</w:t>
      </w:r>
      <w:r w:rsidRPr="00FE396A">
        <w:t>.</w:t>
      </w:r>
      <w:r w:rsidR="00680324" w:rsidRPr="00FE396A">
        <w:t xml:space="preserve"> The R&amp;D </w:t>
      </w:r>
      <w:r w:rsidRPr="00FE396A">
        <w:t xml:space="preserve">scope </w:t>
      </w:r>
      <w:r w:rsidR="00680324" w:rsidRPr="00FE396A">
        <w:t xml:space="preserve">of the NCCC </w:t>
      </w:r>
      <w:r w:rsidRPr="00FE396A">
        <w:t xml:space="preserve">includes carbon capture for </w:t>
      </w:r>
      <w:r w:rsidR="00680324" w:rsidRPr="00FE396A">
        <w:t>power generation</w:t>
      </w:r>
      <w:r w:rsidRPr="00FE396A">
        <w:t>, carbon utilization and conversion, and negative-emission technologies such as direct air capture.</w:t>
      </w:r>
    </w:p>
    <w:p w14:paraId="6506CCDE" w14:textId="1ADE7960" w:rsidR="00636F9A" w:rsidRDefault="00DE74E7" w:rsidP="00636F9A">
      <w:r w:rsidRPr="00FE396A">
        <w:t>Negative carbon solutions are an important component of a net-zero carbon approach and counterbalance direct GHG emissions from Company operations through either the actual capture and storage of GHG or the application of carbon offset credits created by qualifying GHG reduction projects.</w:t>
      </w:r>
      <w:r w:rsidR="007C14B7" w:rsidRPr="00FE396A">
        <w:t xml:space="preserve"> </w:t>
      </w:r>
      <w:r w:rsidRPr="00FE396A">
        <w:t>While many of these negative carbon solutions are still evolving or in development across the industry and the country, Georgia Power faces some unique challenges for carbon capture and storage in the state of Georgia. Unlike some neighboring states with extensive oil and gas exploration</w:t>
      </w:r>
      <w:r w:rsidR="005405C6" w:rsidRPr="00FE396A">
        <w:t xml:space="preserve"> </w:t>
      </w:r>
      <w:r w:rsidRPr="00FE396A">
        <w:t>and development, Georgia lacks the detailed geological information needed to prepare for CCS deployment. To minimize risks to customers in a net-zero future, carbon capture technology and viable locations for storage will likely be necessary for continued fossil fuel operations. CCS could potentially be</w:t>
      </w:r>
      <w:r w:rsidR="00B91424" w:rsidRPr="00FE396A">
        <w:t xml:space="preserve"> </w:t>
      </w:r>
      <w:r w:rsidRPr="00FE396A">
        <w:t>applied as an add-o</w:t>
      </w:r>
      <w:r w:rsidR="00B91424" w:rsidRPr="00FE396A">
        <w:t>n</w:t>
      </w:r>
      <w:r w:rsidRPr="00FE396A">
        <w:t xml:space="preserve"> environmental control to a generating unit to remove GHG emissions at their source or could be used to remove GHG from ambient air, known as direct air capture (“DAC”). </w:t>
      </w:r>
      <w:r w:rsidRPr="00C44ACD">
        <w:t>Due to the</w:t>
      </w:r>
      <w:r w:rsidRPr="00FE396A">
        <w:t xml:space="preserve"> </w:t>
      </w:r>
      <w:r w:rsidR="00F02F75" w:rsidRPr="00FE396A">
        <w:t>historic</w:t>
      </w:r>
      <w:r w:rsidRPr="00FE396A">
        <w:t xml:space="preserve"> lack of geologic feasibility studies in the state of Georgia, Georgia Power began partnering in 2021 with Southern Company to evaluate the technical and economic viability of CCS in potential locations in Georgia.</w:t>
      </w:r>
      <w:r w:rsidR="00636F9A" w:rsidRPr="00FE396A">
        <w:t xml:space="preserve"> </w:t>
      </w:r>
      <w:r w:rsidR="00636F9A">
        <w:t xml:space="preserve">Most recently, test borings were completed at </w:t>
      </w:r>
      <w:r w:rsidR="008E7921">
        <w:t>three</w:t>
      </w:r>
      <w:r w:rsidR="00636F9A">
        <w:t xml:space="preserve"> sites in Georgia in 2024 to gain better information about geologic formations deep underground in northwest and southeast Georgia. While the ability to implement CCS is years away, these types of early studies are necessary to keep diversified generation options viable in Georgia for the long-term future.</w:t>
      </w:r>
    </w:p>
    <w:p w14:paraId="0D1E8E3D" w14:textId="09F5A0DE" w:rsidR="006A0567" w:rsidRPr="00FE396A" w:rsidRDefault="00AF7EC9" w:rsidP="00FE396A">
      <w:r w:rsidRPr="00FE396A">
        <w:t>In 2022, Georgia Power and Mitsubishi Power, alongside EPRI, successfully validated fuel blending of hydrogen and natural gas at both partial and full load on an M501G natural gas turbine at Georgia Power’s Plant McDonough in Smyrna, Georgia. The demonstration project was the first to validate 20%</w:t>
      </w:r>
      <w:r w:rsidR="002115E6" w:rsidRPr="00FE396A">
        <w:t xml:space="preserve"> by volume</w:t>
      </w:r>
      <w:r w:rsidRPr="00FE396A">
        <w:t xml:space="preserve"> hydrogen fuel blending on an advanced class gas turbine in North America, and the largest test of this kind to date, with the 20% blend providing an approximately 7% reduction in carbon emissions compared to natural gas.</w:t>
      </w:r>
      <w:r w:rsidR="002115E6" w:rsidRPr="00FE396A">
        <w:t xml:space="preserve"> </w:t>
      </w:r>
      <w:r w:rsidRPr="00FE396A">
        <w:t xml:space="preserve">Georgia Power collaborated with Mitsubishi Power for the landmark testing as part of a continued commitment to new R&amp;D to build the energy grid of the future and to reduce carbon emissions across its generation fleet. </w:t>
      </w:r>
    </w:p>
    <w:p w14:paraId="1E2DFC2A" w14:textId="4EA7C708" w:rsidR="000D33E9" w:rsidRDefault="00822E25" w:rsidP="002739B0">
      <w:pPr>
        <w:pStyle w:val="Heading1"/>
        <w:rPr>
          <w:rFonts w:cs="Arial"/>
          <w:b/>
          <w:color w:val="000080"/>
        </w:rPr>
      </w:pPr>
      <w:bookmarkStart w:id="97" w:name="_Toc188252333"/>
      <w:r>
        <w:lastRenderedPageBreak/>
        <w:t xml:space="preserve">ECS – Appendix D - </w:t>
      </w:r>
      <w:r w:rsidR="00D33640" w:rsidRPr="00DA238A">
        <w:t>Environmental Control Alternatives</w:t>
      </w:r>
      <w:r w:rsidR="00D33640" w:rsidRPr="002D3EF7">
        <w:t xml:space="preserve"> Index</w:t>
      </w:r>
      <w:bookmarkEnd w:id="97"/>
    </w:p>
    <w:p w14:paraId="0B3C854E" w14:textId="53FBED00" w:rsidR="0024578D" w:rsidRPr="00FE396A" w:rsidRDefault="0024578D" w:rsidP="002D3EF7">
      <w:pPr>
        <w:spacing w:before="100" w:after="0" w:line="240" w:lineRule="auto"/>
        <w:rPr>
          <w:rFonts w:cs="Arial"/>
          <w:szCs w:val="24"/>
        </w:rPr>
      </w:pPr>
      <w:r w:rsidRPr="00FE396A">
        <w:rPr>
          <w:rFonts w:cs="Arial"/>
          <w:szCs w:val="24"/>
        </w:rPr>
        <w:t>I.</w:t>
      </w:r>
      <w:r w:rsidRPr="00FE396A">
        <w:rPr>
          <w:rFonts w:cs="Arial"/>
          <w:szCs w:val="24"/>
        </w:rPr>
        <w:tab/>
        <w:t>Low-</w:t>
      </w:r>
      <w:r w:rsidR="002628B6" w:rsidRPr="002628B6">
        <w:t xml:space="preserve"> </w:t>
      </w:r>
      <w:r w:rsidR="002628B6" w:rsidRPr="00442755">
        <w:t>NO</w:t>
      </w:r>
      <w:r w:rsidR="002628B6">
        <w:t>x</w:t>
      </w:r>
      <w:r w:rsidRPr="00FE396A">
        <w:rPr>
          <w:rFonts w:cs="Arial"/>
          <w:szCs w:val="24"/>
        </w:rPr>
        <w:t xml:space="preserve"> Combustion Systems </w:t>
      </w:r>
    </w:p>
    <w:p w14:paraId="233BD6F2" w14:textId="02BB5805" w:rsidR="00FA748E" w:rsidRPr="00FE396A" w:rsidRDefault="00FA748E" w:rsidP="002D3EF7">
      <w:pPr>
        <w:spacing w:before="100" w:after="0" w:line="240" w:lineRule="auto"/>
        <w:rPr>
          <w:rFonts w:cs="Arial"/>
          <w:szCs w:val="24"/>
        </w:rPr>
      </w:pPr>
      <w:r w:rsidRPr="00FE396A">
        <w:rPr>
          <w:rFonts w:cs="Arial"/>
          <w:szCs w:val="24"/>
        </w:rPr>
        <w:t>I</w:t>
      </w:r>
      <w:r w:rsidR="0024578D" w:rsidRPr="00FE396A">
        <w:rPr>
          <w:rFonts w:cs="Arial"/>
          <w:szCs w:val="24"/>
        </w:rPr>
        <w:t>I</w:t>
      </w:r>
      <w:r w:rsidRPr="00FE396A">
        <w:rPr>
          <w:rFonts w:cs="Arial"/>
          <w:szCs w:val="24"/>
        </w:rPr>
        <w:t>.</w:t>
      </w:r>
      <w:r w:rsidRPr="00FE396A">
        <w:rPr>
          <w:rFonts w:cs="Arial"/>
          <w:szCs w:val="24"/>
        </w:rPr>
        <w:tab/>
        <w:t xml:space="preserve">Selective Catalytic Reduction </w:t>
      </w:r>
    </w:p>
    <w:p w14:paraId="46F4F089" w14:textId="682C5F4D" w:rsidR="00FA748E" w:rsidRPr="00FE396A" w:rsidRDefault="00FA748E" w:rsidP="002D3EF7">
      <w:pPr>
        <w:spacing w:before="100" w:after="0" w:line="240" w:lineRule="auto"/>
        <w:rPr>
          <w:rFonts w:cs="Arial"/>
          <w:szCs w:val="24"/>
        </w:rPr>
      </w:pPr>
      <w:r w:rsidRPr="00FE396A">
        <w:rPr>
          <w:rFonts w:cs="Arial"/>
          <w:szCs w:val="24"/>
        </w:rPr>
        <w:t>II</w:t>
      </w:r>
      <w:r w:rsidR="0024578D" w:rsidRPr="00FE396A">
        <w:rPr>
          <w:rFonts w:cs="Arial"/>
          <w:szCs w:val="24"/>
        </w:rPr>
        <w:t>I</w:t>
      </w:r>
      <w:r w:rsidRPr="00FE396A">
        <w:rPr>
          <w:rFonts w:cs="Arial"/>
          <w:szCs w:val="24"/>
        </w:rPr>
        <w:t>.</w:t>
      </w:r>
      <w:r w:rsidRPr="00FE396A">
        <w:rPr>
          <w:rFonts w:cs="Arial"/>
          <w:szCs w:val="24"/>
        </w:rPr>
        <w:tab/>
        <w:t xml:space="preserve">Selective Noncatalytic Reduction </w:t>
      </w:r>
    </w:p>
    <w:p w14:paraId="06C3387E" w14:textId="73FEB3A5" w:rsidR="00FA748E" w:rsidRPr="00FE396A" w:rsidRDefault="00FA748E" w:rsidP="002D3EF7">
      <w:pPr>
        <w:spacing w:before="100" w:after="0" w:line="240" w:lineRule="auto"/>
        <w:rPr>
          <w:rFonts w:cs="Arial"/>
          <w:szCs w:val="24"/>
        </w:rPr>
      </w:pPr>
      <w:r w:rsidRPr="00FE396A">
        <w:rPr>
          <w:rFonts w:cs="Arial"/>
          <w:szCs w:val="24"/>
        </w:rPr>
        <w:t>I</w:t>
      </w:r>
      <w:r w:rsidR="0024578D" w:rsidRPr="00FE396A">
        <w:rPr>
          <w:rFonts w:cs="Arial"/>
          <w:szCs w:val="24"/>
        </w:rPr>
        <w:t>V.</w:t>
      </w:r>
      <w:r w:rsidRPr="00FE396A">
        <w:rPr>
          <w:rFonts w:cs="Arial"/>
          <w:szCs w:val="24"/>
        </w:rPr>
        <w:tab/>
        <w:t>Fuel Switch to Natural Gas</w:t>
      </w:r>
    </w:p>
    <w:p w14:paraId="11112C79" w14:textId="0951029E" w:rsidR="00FA748E" w:rsidRPr="00FE396A" w:rsidRDefault="00FA748E" w:rsidP="002D3EF7">
      <w:pPr>
        <w:spacing w:before="100" w:after="0" w:line="240" w:lineRule="auto"/>
        <w:rPr>
          <w:rFonts w:cs="Arial"/>
          <w:szCs w:val="24"/>
        </w:rPr>
      </w:pPr>
      <w:r w:rsidRPr="00FE396A">
        <w:rPr>
          <w:rFonts w:cs="Arial"/>
          <w:szCs w:val="24"/>
        </w:rPr>
        <w:t>V.</w:t>
      </w:r>
      <w:r w:rsidRPr="00FE396A">
        <w:rPr>
          <w:rFonts w:cs="Arial"/>
          <w:szCs w:val="24"/>
        </w:rPr>
        <w:tab/>
      </w:r>
      <w:r w:rsidR="008051E5" w:rsidRPr="00FE396A">
        <w:rPr>
          <w:rFonts w:cs="Arial"/>
          <w:szCs w:val="24"/>
        </w:rPr>
        <w:t xml:space="preserve">Fuel Switch to </w:t>
      </w:r>
      <w:r w:rsidRPr="00FE396A">
        <w:rPr>
          <w:rFonts w:cs="Arial"/>
          <w:szCs w:val="24"/>
        </w:rPr>
        <w:t>Powder River Basin Coal</w:t>
      </w:r>
    </w:p>
    <w:p w14:paraId="6F961020" w14:textId="03DE1243" w:rsidR="00FA748E" w:rsidRPr="00FE396A" w:rsidRDefault="00FA748E" w:rsidP="002D3EF7">
      <w:pPr>
        <w:spacing w:before="100" w:after="0" w:line="240" w:lineRule="auto"/>
        <w:rPr>
          <w:rFonts w:cs="Arial"/>
          <w:szCs w:val="24"/>
        </w:rPr>
      </w:pPr>
      <w:r w:rsidRPr="00FE396A">
        <w:rPr>
          <w:rFonts w:cs="Arial"/>
          <w:szCs w:val="24"/>
        </w:rPr>
        <w:t>VI.</w:t>
      </w:r>
      <w:r w:rsidRPr="00FE396A">
        <w:rPr>
          <w:rFonts w:cs="Arial"/>
          <w:szCs w:val="24"/>
        </w:rPr>
        <w:tab/>
        <w:t xml:space="preserve">Flue Gas Desulfurization </w:t>
      </w:r>
    </w:p>
    <w:p w14:paraId="68DB630B" w14:textId="796F43EB" w:rsidR="00FA748E" w:rsidRPr="00FE396A" w:rsidRDefault="00FA748E" w:rsidP="002D3EF7">
      <w:pPr>
        <w:spacing w:before="100" w:after="0" w:line="240" w:lineRule="auto"/>
        <w:rPr>
          <w:rFonts w:cs="Arial"/>
          <w:szCs w:val="24"/>
        </w:rPr>
      </w:pPr>
      <w:r w:rsidRPr="00FE396A">
        <w:rPr>
          <w:rFonts w:cs="Arial"/>
          <w:szCs w:val="24"/>
        </w:rPr>
        <w:t>VII.</w:t>
      </w:r>
      <w:r w:rsidRPr="00FE396A">
        <w:rPr>
          <w:rFonts w:cs="Arial"/>
          <w:szCs w:val="24"/>
        </w:rPr>
        <w:tab/>
        <w:t xml:space="preserve">Dry Sorbent Injection </w:t>
      </w:r>
    </w:p>
    <w:p w14:paraId="41CAA895" w14:textId="77777777" w:rsidR="00FA748E" w:rsidRPr="00FE396A" w:rsidRDefault="00FA748E" w:rsidP="002D3EF7">
      <w:pPr>
        <w:spacing w:before="100" w:after="0" w:line="240" w:lineRule="auto"/>
        <w:rPr>
          <w:rFonts w:cs="Arial"/>
          <w:szCs w:val="24"/>
        </w:rPr>
      </w:pPr>
      <w:r w:rsidRPr="00FE396A">
        <w:rPr>
          <w:rFonts w:cs="Arial"/>
          <w:szCs w:val="24"/>
        </w:rPr>
        <w:t>VIII.</w:t>
      </w:r>
      <w:r w:rsidRPr="00FE396A">
        <w:rPr>
          <w:rFonts w:cs="Arial"/>
          <w:szCs w:val="24"/>
        </w:rPr>
        <w:tab/>
        <w:t>Baghouses</w:t>
      </w:r>
    </w:p>
    <w:p w14:paraId="4FE3E4B6" w14:textId="19DABACF" w:rsidR="00FA748E" w:rsidRPr="00FE396A" w:rsidRDefault="00FA748E" w:rsidP="002D3EF7">
      <w:pPr>
        <w:spacing w:before="100" w:after="0" w:line="240" w:lineRule="auto"/>
        <w:rPr>
          <w:rFonts w:cs="Arial"/>
          <w:szCs w:val="24"/>
        </w:rPr>
      </w:pPr>
      <w:r w:rsidRPr="00FE396A">
        <w:rPr>
          <w:rFonts w:cs="Arial"/>
          <w:szCs w:val="24"/>
        </w:rPr>
        <w:t>IX.</w:t>
      </w:r>
      <w:r w:rsidRPr="00FE396A">
        <w:rPr>
          <w:rFonts w:cs="Arial"/>
          <w:szCs w:val="24"/>
        </w:rPr>
        <w:tab/>
        <w:t xml:space="preserve">Activated Carbon Injection and Alkali Sorbent Injection </w:t>
      </w:r>
    </w:p>
    <w:p w14:paraId="02AC4F2A" w14:textId="773D5FE0" w:rsidR="00FA748E" w:rsidRPr="00FE396A" w:rsidRDefault="00FA748E" w:rsidP="002D3EF7">
      <w:pPr>
        <w:spacing w:before="100" w:after="0" w:line="240" w:lineRule="auto"/>
        <w:rPr>
          <w:rFonts w:cs="Arial"/>
          <w:szCs w:val="24"/>
        </w:rPr>
      </w:pPr>
      <w:r w:rsidRPr="00FE396A">
        <w:rPr>
          <w:rFonts w:cs="Arial"/>
          <w:szCs w:val="24"/>
        </w:rPr>
        <w:t>X.</w:t>
      </w:r>
      <w:r w:rsidRPr="00FE396A">
        <w:rPr>
          <w:rFonts w:cs="Arial"/>
          <w:szCs w:val="24"/>
        </w:rPr>
        <w:tab/>
        <w:t xml:space="preserve">Mercury Re-emission Control Systems </w:t>
      </w:r>
    </w:p>
    <w:p w14:paraId="00DC67F2" w14:textId="77777777" w:rsidR="00FA748E" w:rsidRPr="00FE396A" w:rsidRDefault="00FA748E" w:rsidP="002D3EF7">
      <w:pPr>
        <w:spacing w:before="100" w:after="0" w:line="240" w:lineRule="auto"/>
        <w:rPr>
          <w:rFonts w:cs="Arial"/>
          <w:szCs w:val="24"/>
        </w:rPr>
      </w:pPr>
      <w:r w:rsidRPr="00FE396A">
        <w:rPr>
          <w:rFonts w:cs="Arial"/>
          <w:szCs w:val="24"/>
        </w:rPr>
        <w:t>XI.</w:t>
      </w:r>
      <w:r w:rsidRPr="00FE396A">
        <w:rPr>
          <w:rFonts w:cs="Arial"/>
          <w:szCs w:val="24"/>
        </w:rPr>
        <w:tab/>
        <w:t>Containment and Control Technologies for Ash Storage Areas</w:t>
      </w:r>
    </w:p>
    <w:p w14:paraId="7CA4DF26" w14:textId="77777777" w:rsidR="00FA748E" w:rsidRPr="00FE396A" w:rsidRDefault="00FA748E" w:rsidP="002D3EF7">
      <w:pPr>
        <w:spacing w:before="100" w:after="0" w:line="240" w:lineRule="auto"/>
        <w:rPr>
          <w:rFonts w:cs="Arial"/>
          <w:szCs w:val="24"/>
        </w:rPr>
      </w:pPr>
      <w:r w:rsidRPr="00FE396A">
        <w:rPr>
          <w:rFonts w:cs="Arial"/>
          <w:szCs w:val="24"/>
        </w:rPr>
        <w:t>XII.</w:t>
      </w:r>
      <w:r w:rsidRPr="00FE396A">
        <w:rPr>
          <w:rFonts w:cs="Arial"/>
          <w:szCs w:val="24"/>
        </w:rPr>
        <w:tab/>
        <w:t>Cooling Water Intake Screen Technology</w:t>
      </w:r>
    </w:p>
    <w:p w14:paraId="2B926F72" w14:textId="77777777" w:rsidR="00FA748E" w:rsidRPr="00FE396A" w:rsidRDefault="00FA748E" w:rsidP="002D3EF7">
      <w:pPr>
        <w:spacing w:before="100" w:after="0" w:line="240" w:lineRule="auto"/>
        <w:rPr>
          <w:rFonts w:cs="Arial"/>
          <w:szCs w:val="24"/>
        </w:rPr>
      </w:pPr>
      <w:r w:rsidRPr="00FE396A">
        <w:rPr>
          <w:rFonts w:cs="Arial"/>
          <w:szCs w:val="24"/>
        </w:rPr>
        <w:t>XIII.</w:t>
      </w:r>
      <w:r w:rsidRPr="00FE396A">
        <w:rPr>
          <w:rFonts w:cs="Arial"/>
          <w:szCs w:val="24"/>
        </w:rPr>
        <w:tab/>
        <w:t>Water Cooling Technologies</w:t>
      </w:r>
    </w:p>
    <w:p w14:paraId="287CBC33" w14:textId="09B7E219" w:rsidR="00FA748E" w:rsidRPr="00FE396A" w:rsidRDefault="00FA748E" w:rsidP="002D3EF7">
      <w:pPr>
        <w:spacing w:before="100" w:after="0" w:line="240" w:lineRule="auto"/>
        <w:rPr>
          <w:rFonts w:cs="Arial"/>
          <w:szCs w:val="24"/>
        </w:rPr>
      </w:pPr>
      <w:r w:rsidRPr="00FE396A">
        <w:rPr>
          <w:rFonts w:cs="Arial"/>
          <w:szCs w:val="24"/>
        </w:rPr>
        <w:t>XV.</w:t>
      </w:r>
      <w:r w:rsidRPr="00FE396A">
        <w:rPr>
          <w:rFonts w:cs="Arial"/>
          <w:szCs w:val="24"/>
        </w:rPr>
        <w:tab/>
      </w:r>
      <w:r w:rsidR="00122212" w:rsidRPr="00FE396A">
        <w:rPr>
          <w:rFonts w:cs="Arial"/>
          <w:szCs w:val="24"/>
        </w:rPr>
        <w:t xml:space="preserve">Dry or Closed-Loop </w:t>
      </w:r>
      <w:r w:rsidRPr="00FE396A">
        <w:rPr>
          <w:rFonts w:cs="Arial"/>
          <w:szCs w:val="24"/>
        </w:rPr>
        <w:t>Ash Handling Methods</w:t>
      </w:r>
    </w:p>
    <w:p w14:paraId="1D22562E" w14:textId="77777777" w:rsidR="00FA748E" w:rsidRPr="00FE396A" w:rsidRDefault="00FA748E" w:rsidP="002D3EF7">
      <w:pPr>
        <w:spacing w:before="100" w:after="0" w:line="240" w:lineRule="auto"/>
        <w:rPr>
          <w:rFonts w:cs="Arial"/>
          <w:szCs w:val="24"/>
        </w:rPr>
      </w:pPr>
      <w:r w:rsidRPr="00FE396A">
        <w:rPr>
          <w:rFonts w:cs="Arial"/>
          <w:szCs w:val="24"/>
        </w:rPr>
        <w:t>XVI.</w:t>
      </w:r>
      <w:r w:rsidRPr="00FE396A">
        <w:rPr>
          <w:rFonts w:cs="Arial"/>
          <w:szCs w:val="24"/>
        </w:rPr>
        <w:tab/>
        <w:t>Landfills</w:t>
      </w:r>
    </w:p>
    <w:p w14:paraId="21829DAF" w14:textId="56183BDC" w:rsidR="00FA748E" w:rsidRPr="00FE396A" w:rsidRDefault="00FA748E" w:rsidP="002D3EF7">
      <w:pPr>
        <w:spacing w:before="100" w:after="0" w:line="240" w:lineRule="auto"/>
        <w:rPr>
          <w:rFonts w:cs="Arial"/>
        </w:rPr>
      </w:pPr>
      <w:r w:rsidRPr="00FE396A">
        <w:rPr>
          <w:rFonts w:cs="Arial"/>
        </w:rPr>
        <w:t>XVII.</w:t>
      </w:r>
      <w:r>
        <w:tab/>
      </w:r>
      <w:r w:rsidRPr="00FE396A">
        <w:rPr>
          <w:rFonts w:cs="Arial"/>
        </w:rPr>
        <w:t>Wastewater Treatment</w:t>
      </w:r>
    </w:p>
    <w:p w14:paraId="6549C89D" w14:textId="2D516419" w:rsidR="00AC038D" w:rsidRPr="00FE396A" w:rsidRDefault="00AC038D" w:rsidP="002D3EF7">
      <w:pPr>
        <w:spacing w:before="100" w:after="0" w:line="240" w:lineRule="auto"/>
        <w:rPr>
          <w:rFonts w:cs="Arial"/>
        </w:rPr>
      </w:pPr>
      <w:r w:rsidRPr="00FE396A">
        <w:rPr>
          <w:rFonts w:cs="Arial"/>
        </w:rPr>
        <w:t xml:space="preserve">XVIII. </w:t>
      </w:r>
      <w:r>
        <w:tab/>
      </w:r>
      <w:r w:rsidRPr="00FE396A">
        <w:rPr>
          <w:rFonts w:cs="Arial"/>
        </w:rPr>
        <w:t>Zero Liquid Di</w:t>
      </w:r>
      <w:r w:rsidR="00342E75" w:rsidRPr="00FE396A">
        <w:rPr>
          <w:rFonts w:cs="Arial"/>
        </w:rPr>
        <w:t>s</w:t>
      </w:r>
      <w:r w:rsidRPr="00FE396A">
        <w:rPr>
          <w:rFonts w:cs="Arial"/>
        </w:rPr>
        <w:t>charge Technologies</w:t>
      </w:r>
    </w:p>
    <w:p w14:paraId="5422ED57" w14:textId="440E9E4B" w:rsidR="000D33E9" w:rsidRPr="00FE396A" w:rsidRDefault="000D33E9" w:rsidP="002D3EF7">
      <w:pPr>
        <w:spacing w:after="0" w:line="240" w:lineRule="auto"/>
        <w:rPr>
          <w:rFonts w:cs="Arial"/>
          <w:b/>
          <w:caps/>
          <w:szCs w:val="24"/>
          <w:u w:val="single"/>
        </w:rPr>
      </w:pPr>
      <w:r w:rsidRPr="00FE396A">
        <w:rPr>
          <w:rFonts w:cs="Arial"/>
          <w:b/>
          <w:caps/>
          <w:szCs w:val="24"/>
          <w:u w:val="single"/>
        </w:rPr>
        <w:t>environmental Control Alternatives</w:t>
      </w:r>
    </w:p>
    <w:p w14:paraId="2D54C8ED" w14:textId="4634384A" w:rsidR="003667B4" w:rsidRPr="00FE396A" w:rsidRDefault="003667B4" w:rsidP="002D3EF7">
      <w:pPr>
        <w:keepNext/>
        <w:keepLines/>
        <w:tabs>
          <w:tab w:val="left" w:pos="540"/>
        </w:tabs>
        <w:spacing w:after="0" w:line="240" w:lineRule="auto"/>
        <w:rPr>
          <w:rFonts w:cs="Arial"/>
          <w:b/>
          <w:szCs w:val="24"/>
        </w:rPr>
      </w:pPr>
      <w:r w:rsidRPr="00FE396A">
        <w:rPr>
          <w:rFonts w:cs="Arial"/>
          <w:b/>
          <w:szCs w:val="24"/>
        </w:rPr>
        <w:t>I.</w:t>
      </w:r>
      <w:r w:rsidRPr="00FE396A">
        <w:rPr>
          <w:rFonts w:cs="Arial"/>
          <w:b/>
          <w:szCs w:val="24"/>
        </w:rPr>
        <w:tab/>
      </w:r>
      <w:r w:rsidRPr="008E2017">
        <w:rPr>
          <w:rFonts w:cs="Arial"/>
          <w:b/>
          <w:szCs w:val="24"/>
          <w:u w:val="single"/>
        </w:rPr>
        <w:t>Low-</w:t>
      </w:r>
      <w:r w:rsidR="002628B6" w:rsidRPr="00C44ACD">
        <w:rPr>
          <w:b/>
          <w:u w:val="single"/>
        </w:rPr>
        <w:t xml:space="preserve"> NOx</w:t>
      </w:r>
      <w:r w:rsidRPr="008E2017">
        <w:rPr>
          <w:rFonts w:cs="Arial"/>
          <w:b/>
          <w:szCs w:val="24"/>
          <w:u w:val="single"/>
        </w:rPr>
        <w:t xml:space="preserve"> Combustion</w:t>
      </w:r>
      <w:r w:rsidRPr="00FE396A">
        <w:rPr>
          <w:rFonts w:cs="Arial"/>
          <w:b/>
          <w:szCs w:val="24"/>
          <w:u w:val="single"/>
        </w:rPr>
        <w:t xml:space="preserve"> Systems</w:t>
      </w:r>
      <w:r w:rsidR="00AF3FFA" w:rsidRPr="00FE396A">
        <w:rPr>
          <w:rFonts w:cs="Arial"/>
          <w:b/>
          <w:szCs w:val="24"/>
          <w:u w:val="single"/>
        </w:rPr>
        <w:t xml:space="preserve"> (“LNCS”)</w:t>
      </w:r>
      <w:r w:rsidRPr="00FE396A">
        <w:rPr>
          <w:rFonts w:cs="Arial"/>
          <w:b/>
          <w:szCs w:val="24"/>
          <w:u w:val="single"/>
        </w:rPr>
        <w:t xml:space="preserve"> </w:t>
      </w:r>
    </w:p>
    <w:p w14:paraId="28AD07E3" w14:textId="6250C309" w:rsidR="003667B4" w:rsidRPr="00DB7156" w:rsidRDefault="003667B4" w:rsidP="007831C3">
      <w:r w:rsidRPr="00DB7156">
        <w:t>Low-</w:t>
      </w:r>
      <w:r w:rsidR="002628B6" w:rsidRPr="002628B6">
        <w:t xml:space="preserve"> </w:t>
      </w:r>
      <w:r w:rsidR="002628B6" w:rsidRPr="00442755">
        <w:t>NO</w:t>
      </w:r>
      <w:r w:rsidR="002628B6">
        <w:t>x</w:t>
      </w:r>
      <w:r>
        <w:t xml:space="preserve"> combustion systems</w:t>
      </w:r>
      <w:r w:rsidRPr="00DB7156">
        <w:t xml:space="preserve"> </w:t>
      </w:r>
      <w:proofErr w:type="gramStart"/>
      <w:r w:rsidR="00AF3FFA">
        <w:t>i</w:t>
      </w:r>
      <w:r w:rsidRPr="00DB7156">
        <w:t>s</w:t>
      </w:r>
      <w:proofErr w:type="gramEnd"/>
      <w:r w:rsidRPr="00DB7156">
        <w:t xml:space="preserve"> a generic term for burner</w:t>
      </w:r>
      <w:r>
        <w:t>s and/or air systems</w:t>
      </w:r>
      <w:r w:rsidRPr="00DB7156">
        <w:t xml:space="preserve"> designed to combust fuel while reducing the amount of </w:t>
      </w:r>
      <w:r w:rsidR="002628B6" w:rsidRPr="00442755">
        <w:t>NO</w:t>
      </w:r>
      <w:r w:rsidR="002628B6">
        <w:t>x</w:t>
      </w:r>
      <w:r w:rsidRPr="00DB7156">
        <w:t xml:space="preserve"> that is formed. Since there are several different firing arrangements for </w:t>
      </w:r>
      <w:r>
        <w:t>fossil fuel-fired units</w:t>
      </w:r>
      <w:r w:rsidRPr="00DB7156">
        <w:t xml:space="preserve">, there are several different types of </w:t>
      </w:r>
      <w:r>
        <w:t>LNCS</w:t>
      </w:r>
      <w:r w:rsidRPr="00DB7156">
        <w:t>.</w:t>
      </w:r>
    </w:p>
    <w:p w14:paraId="11145680" w14:textId="79E940C9" w:rsidR="003667B4" w:rsidRPr="00DB7156" w:rsidRDefault="002628B6" w:rsidP="007831C3">
      <w:r w:rsidRPr="00442755">
        <w:t>NO</w:t>
      </w:r>
      <w:r>
        <w:t>x</w:t>
      </w:r>
      <w:r w:rsidR="003667B4" w:rsidRPr="00DB7156">
        <w:t xml:space="preserve"> is formed during combustion from either the nitrogen in the fuel or the air. </w:t>
      </w:r>
      <w:r w:rsidRPr="00442755">
        <w:t>NO</w:t>
      </w:r>
      <w:r>
        <w:t>x</w:t>
      </w:r>
      <w:r w:rsidR="003667B4" w:rsidRPr="00DB7156">
        <w:t xml:space="preserve"> formed from nitrogen in air requires high-flame temperatures and because of this, is usually referred to as thermal </w:t>
      </w:r>
      <w:r w:rsidRPr="00442755">
        <w:t>NO</w:t>
      </w:r>
      <w:r>
        <w:t>x</w:t>
      </w:r>
      <w:r w:rsidR="003667B4" w:rsidRPr="00DB7156">
        <w:t xml:space="preserve">. </w:t>
      </w:r>
      <w:r w:rsidR="003667B4">
        <w:t>While s</w:t>
      </w:r>
      <w:r w:rsidR="003667B4" w:rsidRPr="00DB7156">
        <w:t>ome fuels contain small amounts (2 percent or less) of nitrogen as a chemical constituent</w:t>
      </w:r>
      <w:r w:rsidR="003667B4">
        <w:t xml:space="preserve">, thermal </w:t>
      </w:r>
      <w:r w:rsidR="003667B4" w:rsidRPr="00442755">
        <w:t>NO</w:t>
      </w:r>
      <w:r w:rsidR="003667B4">
        <w:t xml:space="preserve">x is by far the predominant source of emissions over fuel </w:t>
      </w:r>
      <w:r w:rsidR="003667B4" w:rsidRPr="00442755">
        <w:t>NO</w:t>
      </w:r>
      <w:r w:rsidR="003667B4">
        <w:t>x.</w:t>
      </w:r>
    </w:p>
    <w:p w14:paraId="54472778" w14:textId="2595A17A" w:rsidR="003667B4" w:rsidRPr="00CA5117" w:rsidRDefault="003667B4" w:rsidP="007831C3">
      <w:r>
        <w:t xml:space="preserve">LNCS can include burners that </w:t>
      </w:r>
      <w:r w:rsidRPr="00DB7156">
        <w:t xml:space="preserve">are designed to reduce </w:t>
      </w:r>
      <w:r>
        <w:t xml:space="preserve">either fuel </w:t>
      </w:r>
      <w:r w:rsidRPr="00442755">
        <w:t>NO</w:t>
      </w:r>
      <w:r>
        <w:t xml:space="preserve">x or thermal </w:t>
      </w:r>
      <w:r w:rsidR="002628B6" w:rsidRPr="00442755">
        <w:t>NO</w:t>
      </w:r>
      <w:r w:rsidR="002628B6">
        <w:t>x</w:t>
      </w:r>
      <w:r w:rsidRPr="00DB7156">
        <w:t xml:space="preserve"> </w:t>
      </w:r>
      <w:r>
        <w:t xml:space="preserve">or both. LNCS can also include overfire air, which is </w:t>
      </w:r>
      <w:r w:rsidRPr="00DB7156">
        <w:t xml:space="preserve">air that is added </w:t>
      </w:r>
      <w:r>
        <w:t xml:space="preserve">above the main combustion zone </w:t>
      </w:r>
      <w:r w:rsidRPr="00DB7156">
        <w:t>to finish the combustion process</w:t>
      </w:r>
      <w:r>
        <w:t xml:space="preserve">, to reduce </w:t>
      </w:r>
      <w:r w:rsidRPr="00442755">
        <w:t>NO</w:t>
      </w:r>
      <w:r>
        <w:t>x</w:t>
      </w:r>
      <w:r w:rsidRPr="00DB7156">
        <w:t xml:space="preserve">. </w:t>
      </w:r>
      <w:r>
        <w:t xml:space="preserve">For all LNCS, the balance of air and fuel must be optimized to achieve </w:t>
      </w:r>
      <w:r w:rsidRPr="00442755">
        <w:t>NO</w:t>
      </w:r>
      <w:r>
        <w:t xml:space="preserve">x reduction and to minimize additional production of carbon monoxide. </w:t>
      </w:r>
    </w:p>
    <w:p w14:paraId="52AFDE55" w14:textId="372BBBEC" w:rsidR="000D33E9" w:rsidRPr="00FE396A" w:rsidRDefault="000D33E9" w:rsidP="002D3EF7">
      <w:pPr>
        <w:tabs>
          <w:tab w:val="left" w:pos="540"/>
        </w:tabs>
        <w:spacing w:after="0" w:line="240" w:lineRule="auto"/>
        <w:rPr>
          <w:rFonts w:cs="Arial"/>
          <w:b/>
          <w:szCs w:val="24"/>
        </w:rPr>
      </w:pPr>
      <w:r w:rsidRPr="00FE396A">
        <w:rPr>
          <w:rFonts w:cs="Arial"/>
          <w:b/>
          <w:szCs w:val="24"/>
        </w:rPr>
        <w:t>I</w:t>
      </w:r>
      <w:r w:rsidR="00AB5975" w:rsidRPr="00FE396A">
        <w:rPr>
          <w:rFonts w:cs="Arial"/>
          <w:b/>
          <w:szCs w:val="24"/>
        </w:rPr>
        <w:t>I</w:t>
      </w:r>
      <w:r w:rsidRPr="00FE396A">
        <w:rPr>
          <w:rFonts w:cs="Arial"/>
          <w:b/>
          <w:szCs w:val="24"/>
        </w:rPr>
        <w:t>.</w:t>
      </w:r>
      <w:r>
        <w:tab/>
      </w:r>
      <w:r w:rsidRPr="00FE396A">
        <w:rPr>
          <w:rFonts w:cs="Arial"/>
          <w:b/>
          <w:szCs w:val="24"/>
          <w:u w:val="single"/>
        </w:rPr>
        <w:t>Selective Catalytic Reduction (“SCR”)</w:t>
      </w:r>
    </w:p>
    <w:p w14:paraId="5DE2D555" w14:textId="48F88FB2" w:rsidR="000D33E9" w:rsidRPr="00DB7156" w:rsidRDefault="000D33E9" w:rsidP="007831C3">
      <w:r w:rsidRPr="00DB7156">
        <w:t xml:space="preserve">SCR technology involves the catalytic reaction of ammonia, which is injected into the flue gas, with </w:t>
      </w:r>
      <w:r w:rsidR="002628B6" w:rsidRPr="00442755">
        <w:t>NO</w:t>
      </w:r>
      <w:r w:rsidR="002628B6">
        <w:t>x</w:t>
      </w:r>
      <w:r w:rsidRPr="00DB7156">
        <w:t xml:space="preserve"> to produce molecular nitrogen (N</w:t>
      </w:r>
      <w:r w:rsidRPr="00DB7156">
        <w:rPr>
          <w:vertAlign w:val="subscript"/>
        </w:rPr>
        <w:t>2</w:t>
      </w:r>
      <w:r>
        <w:t xml:space="preserve">) and water vapor. </w:t>
      </w:r>
      <w:r w:rsidRPr="00DB7156">
        <w:t xml:space="preserve">These reactions take place across </w:t>
      </w:r>
      <w:r w:rsidR="00CA7FCA">
        <w:t xml:space="preserve">one or more </w:t>
      </w:r>
      <w:r w:rsidRPr="00DB7156">
        <w:t xml:space="preserve">layers of catalyst in the SCR reactor and generally result in a </w:t>
      </w:r>
      <w:r w:rsidR="002628B6" w:rsidRPr="00442755">
        <w:t>NO</w:t>
      </w:r>
      <w:r w:rsidR="002628B6">
        <w:t>x</w:t>
      </w:r>
      <w:r w:rsidRPr="00DB7156">
        <w:t xml:space="preserve"> reduction capability of 85 to </w:t>
      </w:r>
      <w:r w:rsidRPr="00DB7156">
        <w:lastRenderedPageBreak/>
        <w:t xml:space="preserve">90 percent depending upon the </w:t>
      </w:r>
      <w:proofErr w:type="gramStart"/>
      <w:r w:rsidRPr="00DB7156">
        <w:t>particular application</w:t>
      </w:r>
      <w:proofErr w:type="gramEnd"/>
      <w:r w:rsidRPr="00DB7156">
        <w:t xml:space="preserve">. The SCR </w:t>
      </w:r>
      <w:r w:rsidR="00CA7FCA">
        <w:t xml:space="preserve">is sensitive to temperature and must be placed in an area with appropriate </w:t>
      </w:r>
      <w:r w:rsidR="00BD6AB4">
        <w:t>flue gas</w:t>
      </w:r>
      <w:r w:rsidRPr="00DB7156">
        <w:t xml:space="preserve"> temperature</w:t>
      </w:r>
      <w:r w:rsidR="00CA7FCA">
        <w:t>s</w:t>
      </w:r>
      <w:r w:rsidR="00BD6AB4">
        <w:t xml:space="preserve"> to operate optimally</w:t>
      </w:r>
      <w:r w:rsidRPr="00DB7156">
        <w:t xml:space="preserve">. </w:t>
      </w:r>
    </w:p>
    <w:p w14:paraId="59515CAB" w14:textId="23D526A6" w:rsidR="000D33E9" w:rsidRPr="00FE396A" w:rsidRDefault="000D33E9" w:rsidP="002D3EF7">
      <w:pPr>
        <w:tabs>
          <w:tab w:val="left" w:pos="540"/>
        </w:tabs>
        <w:spacing w:after="0" w:line="240" w:lineRule="auto"/>
        <w:rPr>
          <w:rFonts w:cs="Arial"/>
          <w:b/>
          <w:szCs w:val="24"/>
        </w:rPr>
      </w:pPr>
      <w:r w:rsidRPr="00FE396A">
        <w:rPr>
          <w:rFonts w:cs="Arial"/>
          <w:b/>
          <w:szCs w:val="24"/>
        </w:rPr>
        <w:t>II</w:t>
      </w:r>
      <w:r w:rsidR="00AB5975" w:rsidRPr="00FE396A">
        <w:rPr>
          <w:rFonts w:cs="Arial"/>
          <w:b/>
          <w:szCs w:val="24"/>
        </w:rPr>
        <w:t>I</w:t>
      </w:r>
      <w:r w:rsidRPr="00FE396A">
        <w:rPr>
          <w:rFonts w:cs="Arial"/>
          <w:b/>
          <w:szCs w:val="24"/>
        </w:rPr>
        <w:t>.</w:t>
      </w:r>
      <w:r>
        <w:tab/>
      </w:r>
      <w:r w:rsidRPr="00FE396A">
        <w:rPr>
          <w:rFonts w:cs="Arial"/>
          <w:b/>
          <w:szCs w:val="24"/>
          <w:u w:val="single"/>
        </w:rPr>
        <w:t>Selective Noncatalytic Reduction (“SNCR”)</w:t>
      </w:r>
    </w:p>
    <w:p w14:paraId="0786B6A9" w14:textId="623A6FEB" w:rsidR="000D33E9" w:rsidRPr="00DB7156" w:rsidRDefault="000D33E9" w:rsidP="007831C3">
      <w:r w:rsidRPr="00DB7156">
        <w:t xml:space="preserve">SNCR employs chemical injection of ammonia or urea directly into the boiler at </w:t>
      </w:r>
      <w:r w:rsidR="003F1F46">
        <w:t xml:space="preserve">high </w:t>
      </w:r>
      <w:r w:rsidRPr="00DB7156">
        <w:t>flue gas temperature</w:t>
      </w:r>
      <w:r w:rsidR="003F1F46">
        <w:t>s</w:t>
      </w:r>
      <w:r w:rsidRPr="00DB7156">
        <w:t xml:space="preserve"> between 1,600 and 2,100°F. In this temperature range, which is typically near the top of the boiler close to the furnace exit or in the convective pass, the reagent reacts with </w:t>
      </w:r>
      <w:r w:rsidR="002628B6" w:rsidRPr="00442755">
        <w:t>NO</w:t>
      </w:r>
      <w:r w:rsidR="002628B6">
        <w:t>x</w:t>
      </w:r>
      <w:r w:rsidRPr="00DB7156">
        <w:t xml:space="preserve"> to form nitrogen and water without the use of a catalyst to promote the reaction.</w:t>
      </w:r>
    </w:p>
    <w:p w14:paraId="761E1BFA" w14:textId="18808F91" w:rsidR="000D33E9" w:rsidRPr="00DB7156" w:rsidRDefault="000D33E9" w:rsidP="007831C3">
      <w:r w:rsidRPr="00DB7156">
        <w:t xml:space="preserve">Application of SNCR to utility-scale boilers is highly site specific. Generally, SNCR is capable of 15- to 40-percent </w:t>
      </w:r>
      <w:r w:rsidR="002628B6" w:rsidRPr="00442755">
        <w:t>NO</w:t>
      </w:r>
      <w:r w:rsidR="002628B6">
        <w:t>x</w:t>
      </w:r>
      <w:r w:rsidRPr="00DB7156">
        <w:t xml:space="preserve"> removal.</w:t>
      </w:r>
      <w:r w:rsidR="008E6606">
        <w:t xml:space="preserve"> </w:t>
      </w:r>
      <w:r w:rsidRPr="00DB7156">
        <w:t xml:space="preserve">One particular benefit of SNCR as compared to SCR is that capital cost is limited due to the absence of catalyst and the associated reactor vessel. However, the difficulty in meeting temperature and distribution requirements </w:t>
      </w:r>
      <w:r w:rsidR="008E6606">
        <w:t xml:space="preserve">and the greater potential for ammonia slip </w:t>
      </w:r>
      <w:r w:rsidRPr="00DB7156">
        <w:t xml:space="preserve">makes implementation of the technology difficult on many boilers, especially on a large-scale boiler. </w:t>
      </w:r>
    </w:p>
    <w:p w14:paraId="13D64601" w14:textId="41EF24AD" w:rsidR="000D33E9" w:rsidRPr="00FE396A" w:rsidRDefault="000D33E9" w:rsidP="002D3EF7">
      <w:pPr>
        <w:tabs>
          <w:tab w:val="left" w:pos="540"/>
        </w:tabs>
        <w:spacing w:after="0" w:line="240" w:lineRule="auto"/>
        <w:rPr>
          <w:rFonts w:cs="Arial"/>
          <w:b/>
          <w:szCs w:val="24"/>
        </w:rPr>
      </w:pPr>
      <w:r w:rsidRPr="00FE396A">
        <w:rPr>
          <w:rFonts w:cs="Arial"/>
          <w:b/>
          <w:szCs w:val="24"/>
        </w:rPr>
        <w:t>I</w:t>
      </w:r>
      <w:r w:rsidR="00AB5975" w:rsidRPr="00FE396A">
        <w:rPr>
          <w:rFonts w:cs="Arial"/>
          <w:b/>
          <w:szCs w:val="24"/>
        </w:rPr>
        <w:t>V</w:t>
      </w:r>
      <w:r w:rsidRPr="00FE396A">
        <w:rPr>
          <w:rFonts w:cs="Arial"/>
          <w:b/>
          <w:szCs w:val="24"/>
        </w:rPr>
        <w:t>.</w:t>
      </w:r>
      <w:r w:rsidRPr="00FE396A">
        <w:rPr>
          <w:rFonts w:cs="Arial"/>
          <w:b/>
          <w:szCs w:val="24"/>
        </w:rPr>
        <w:tab/>
      </w:r>
      <w:r w:rsidRPr="00FE396A">
        <w:rPr>
          <w:rFonts w:cs="Arial"/>
          <w:b/>
          <w:szCs w:val="24"/>
          <w:u w:val="single"/>
        </w:rPr>
        <w:t>Fuel Switch to Natural Gas</w:t>
      </w:r>
    </w:p>
    <w:p w14:paraId="54E4E131" w14:textId="41A3981A" w:rsidR="000D33E9" w:rsidRPr="00DB7156" w:rsidRDefault="00AB395F" w:rsidP="007831C3">
      <w:r>
        <w:t>Depending on availability of natural gas supply and pipelines, e</w:t>
      </w:r>
      <w:r w:rsidR="000D33E9" w:rsidRPr="00DB7156">
        <w:t xml:space="preserve">xisting coal plants </w:t>
      </w:r>
      <w:r>
        <w:t>may</w:t>
      </w:r>
      <w:r w:rsidR="000D33E9" w:rsidRPr="00DB7156">
        <w:t xml:space="preserve"> be partially or completely converted to burn natural gas instead of coal</w:t>
      </w:r>
      <w:r>
        <w:t xml:space="preserve"> as an emissions control strategy</w:t>
      </w:r>
      <w:r w:rsidR="009A62E6">
        <w:t xml:space="preserve">, since </w:t>
      </w:r>
      <w:r w:rsidR="000D33E9" w:rsidRPr="00DB7156">
        <w:t>natural gas contains very little sulfur</w:t>
      </w:r>
      <w:r w:rsidR="002C3330">
        <w:t xml:space="preserve"> and t</w:t>
      </w:r>
      <w:r w:rsidR="000D33E9" w:rsidRPr="00DB7156">
        <w:t>race metals are largely absent</w:t>
      </w:r>
      <w:r w:rsidR="00AB27A6">
        <w:t>.</w:t>
      </w:r>
      <w:r w:rsidR="000D33E9" w:rsidRPr="00DB7156">
        <w:t xml:space="preserve"> </w:t>
      </w:r>
    </w:p>
    <w:p w14:paraId="734D8755" w14:textId="45BAE0F0" w:rsidR="000D33E9" w:rsidRPr="00DB7156" w:rsidRDefault="000D33E9" w:rsidP="007831C3">
      <w:r w:rsidRPr="00442755">
        <w:t>NO</w:t>
      </w:r>
      <w:r>
        <w:t>x</w:t>
      </w:r>
      <w:r w:rsidRPr="00DB7156">
        <w:t xml:space="preserve"> </w:t>
      </w:r>
      <w:r w:rsidR="00AB27A6">
        <w:t xml:space="preserve">emissions </w:t>
      </w:r>
      <w:r w:rsidRPr="00DB7156">
        <w:t xml:space="preserve">result from both fuel chemistry and from the air used in combustion. Therefore, a natural gas conversion does not automatically eliminate emissions of nitrogen oxides. The level of </w:t>
      </w:r>
      <w:r w:rsidRPr="00442755">
        <w:t>NO</w:t>
      </w:r>
      <w:r>
        <w:t>x</w:t>
      </w:r>
      <w:r w:rsidRPr="00DB7156">
        <w:t xml:space="preserve"> in such a conversion is determined by the boiler design plus the presence and design of low </w:t>
      </w:r>
      <w:r w:rsidRPr="00442755">
        <w:t>NO</w:t>
      </w:r>
      <w:r>
        <w:t>x</w:t>
      </w:r>
      <w:r w:rsidRPr="00DB7156">
        <w:t xml:space="preserve"> </w:t>
      </w:r>
      <w:r w:rsidR="00AB27A6">
        <w:t>combustion</w:t>
      </w:r>
      <w:r w:rsidRPr="00DB7156">
        <w:t xml:space="preserve"> systems (see the next section). </w:t>
      </w:r>
    </w:p>
    <w:p w14:paraId="377B7511" w14:textId="0C2E6BA5" w:rsidR="000D33E9" w:rsidRPr="00FE396A" w:rsidRDefault="000D33E9" w:rsidP="002D3EF7">
      <w:pPr>
        <w:tabs>
          <w:tab w:val="left" w:pos="540"/>
        </w:tabs>
        <w:spacing w:after="0" w:line="240" w:lineRule="auto"/>
        <w:rPr>
          <w:rFonts w:cs="Arial"/>
          <w:b/>
          <w:szCs w:val="24"/>
        </w:rPr>
      </w:pPr>
      <w:r w:rsidRPr="00FE396A">
        <w:rPr>
          <w:rFonts w:cs="Arial"/>
          <w:b/>
          <w:szCs w:val="24"/>
        </w:rPr>
        <w:t>V.</w:t>
      </w:r>
      <w:r>
        <w:tab/>
      </w:r>
      <w:r w:rsidR="00763EA9" w:rsidRPr="00FE396A">
        <w:rPr>
          <w:rFonts w:cs="Arial"/>
          <w:b/>
          <w:szCs w:val="24"/>
          <w:u w:val="single"/>
        </w:rPr>
        <w:t>Fuel Switch to P</w:t>
      </w:r>
      <w:r w:rsidRPr="00FE396A">
        <w:rPr>
          <w:rFonts w:cs="Arial"/>
          <w:b/>
          <w:szCs w:val="24"/>
          <w:u w:val="single"/>
        </w:rPr>
        <w:t>owder River Basin (“PRB”) Coal</w:t>
      </w:r>
    </w:p>
    <w:p w14:paraId="5FE9F351" w14:textId="705AC542" w:rsidR="00965189" w:rsidRDefault="000D33E9" w:rsidP="007831C3">
      <w:r w:rsidRPr="00DB7156">
        <w:t>PRB coal is a subbituminous coal mined primarily from seams in the PRB located in Wyoming and Montana in the western U</w:t>
      </w:r>
      <w:r w:rsidR="00B93670">
        <w:t>.S</w:t>
      </w:r>
      <w:r w:rsidRPr="00DB7156">
        <w:t xml:space="preserve">. PRB coal </w:t>
      </w:r>
      <w:r w:rsidR="00C05302">
        <w:t xml:space="preserve">may be considered as an emission control strategy </w:t>
      </w:r>
      <w:r w:rsidR="00617039">
        <w:t xml:space="preserve">for bituminous coal-fired units </w:t>
      </w:r>
      <w:r w:rsidR="00C05302">
        <w:t xml:space="preserve">due to </w:t>
      </w:r>
      <w:r w:rsidRPr="00DB7156">
        <w:t xml:space="preserve">lower sulfur </w:t>
      </w:r>
      <w:r w:rsidR="004D4768">
        <w:t>content</w:t>
      </w:r>
      <w:r w:rsidRPr="00DB7156">
        <w:t xml:space="preserve"> that enhance</w:t>
      </w:r>
      <w:r w:rsidR="004D4768">
        <w:t>s</w:t>
      </w:r>
      <w:r w:rsidRPr="00DB7156">
        <w:t xml:space="preserve"> the ability of generating units to minimize SO</w:t>
      </w:r>
      <w:r w:rsidRPr="00DB7156">
        <w:rPr>
          <w:vertAlign w:val="subscript"/>
        </w:rPr>
        <w:t>2</w:t>
      </w:r>
      <w:r w:rsidRPr="00DB7156">
        <w:t xml:space="preserve"> emissions. </w:t>
      </w:r>
      <w:r w:rsidR="002628B6" w:rsidRPr="00442755">
        <w:t>NO</w:t>
      </w:r>
      <w:r w:rsidR="002628B6">
        <w:t>x</w:t>
      </w:r>
      <w:r w:rsidRPr="00DB7156">
        <w:t xml:space="preserve"> </w:t>
      </w:r>
      <w:r w:rsidR="004D4768">
        <w:t xml:space="preserve">emission </w:t>
      </w:r>
      <w:r w:rsidRPr="00DB7156">
        <w:t xml:space="preserve">reductions are </w:t>
      </w:r>
      <w:r w:rsidR="004D4768">
        <w:t xml:space="preserve">also </w:t>
      </w:r>
      <w:r w:rsidRPr="00DB7156">
        <w:t xml:space="preserve">realized because of the lower combustion flame temperature brought about by the higher moisture content in PRB coal. With this increase in moisture content come lower heat contents (heating values), possible loss of generation </w:t>
      </w:r>
      <w:r w:rsidR="00F63937">
        <w:t xml:space="preserve">capacity </w:t>
      </w:r>
      <w:r w:rsidRPr="00DB7156">
        <w:t>due to unit</w:t>
      </w:r>
      <w:r w:rsidR="00617039">
        <w:t xml:space="preserve"> </w:t>
      </w:r>
      <w:r w:rsidRPr="00DB7156">
        <w:t xml:space="preserve">load derating, </w:t>
      </w:r>
      <w:r w:rsidR="007E6F99">
        <w:t>i</w:t>
      </w:r>
      <w:r w:rsidRPr="00DB7156">
        <w:t>ncreased heat rate</w:t>
      </w:r>
      <w:r w:rsidR="00617039">
        <w:t>,</w:t>
      </w:r>
      <w:r w:rsidRPr="00DB7156">
        <w:t xml:space="preserve"> and </w:t>
      </w:r>
      <w:r w:rsidR="00BC05F1">
        <w:t>often</w:t>
      </w:r>
      <w:r w:rsidR="00617039">
        <w:t xml:space="preserve"> </w:t>
      </w:r>
      <w:r w:rsidRPr="00DB7156">
        <w:t>higher operating and maintenance costs</w:t>
      </w:r>
      <w:r w:rsidR="00617039">
        <w:t>.</w:t>
      </w:r>
      <w:r w:rsidRPr="00DB7156">
        <w:t xml:space="preserve"> </w:t>
      </w:r>
      <w:r w:rsidR="00BC05F1">
        <w:t xml:space="preserve">The considerations for a fuel switch to PRB coal are highly dependent on site-specific operating characteristics and </w:t>
      </w:r>
      <w:r w:rsidR="004958CA">
        <w:t xml:space="preserve">equipment </w:t>
      </w:r>
      <w:r w:rsidR="00BC05F1">
        <w:t>layout.</w:t>
      </w:r>
    </w:p>
    <w:p w14:paraId="7593B553" w14:textId="38DD6548" w:rsidR="000D33E9" w:rsidRPr="00FE396A" w:rsidRDefault="000D33E9" w:rsidP="002D3EF7">
      <w:pPr>
        <w:tabs>
          <w:tab w:val="left" w:pos="540"/>
        </w:tabs>
        <w:spacing w:after="0" w:line="240" w:lineRule="auto"/>
        <w:rPr>
          <w:rFonts w:cs="Arial"/>
          <w:b/>
          <w:szCs w:val="24"/>
          <w:u w:val="single"/>
        </w:rPr>
      </w:pPr>
      <w:r w:rsidRPr="00FE396A">
        <w:rPr>
          <w:rFonts w:cs="Arial"/>
          <w:b/>
          <w:szCs w:val="24"/>
          <w:u w:val="single"/>
        </w:rPr>
        <w:t>VI.</w:t>
      </w:r>
      <w:r w:rsidRPr="00FE396A">
        <w:rPr>
          <w:rFonts w:cs="Arial"/>
          <w:b/>
          <w:szCs w:val="24"/>
          <w:u w:val="single"/>
        </w:rPr>
        <w:tab/>
      </w:r>
      <w:r w:rsidR="004958CA" w:rsidRPr="00FE396A">
        <w:rPr>
          <w:rFonts w:cs="Arial"/>
          <w:b/>
          <w:szCs w:val="24"/>
          <w:u w:val="single"/>
        </w:rPr>
        <w:t>Scrubber or F</w:t>
      </w:r>
      <w:r w:rsidRPr="00FE396A">
        <w:rPr>
          <w:rFonts w:cs="Arial"/>
          <w:b/>
          <w:szCs w:val="24"/>
          <w:u w:val="single"/>
        </w:rPr>
        <w:t>lue Gas Desulfurization (“FGD”)</w:t>
      </w:r>
    </w:p>
    <w:p w14:paraId="4C8098A8" w14:textId="0B8CFB58" w:rsidR="000D33E9" w:rsidRPr="00DB7156" w:rsidRDefault="00AB5975" w:rsidP="007831C3">
      <w:r>
        <w:t xml:space="preserve">A </w:t>
      </w:r>
      <w:r w:rsidR="00EB790A">
        <w:t>s</w:t>
      </w:r>
      <w:r>
        <w:t xml:space="preserve">crubber or </w:t>
      </w:r>
      <w:r w:rsidR="000D33E9" w:rsidRPr="00DB7156">
        <w:t xml:space="preserve">FGD is any process that removes sulfur oxides, </w:t>
      </w:r>
      <w:r w:rsidR="00195539">
        <w:t xml:space="preserve">which </w:t>
      </w:r>
      <w:r w:rsidR="00DB59D6">
        <w:t xml:space="preserve">is </w:t>
      </w:r>
      <w:r w:rsidR="000D33E9" w:rsidRPr="00DB7156">
        <w:t>primarily SO</w:t>
      </w:r>
      <w:r w:rsidR="000D33E9" w:rsidRPr="00DB7156">
        <w:rPr>
          <w:vertAlign w:val="subscript"/>
        </w:rPr>
        <w:t>2</w:t>
      </w:r>
      <w:r>
        <w:t>, from flue gas.</w:t>
      </w:r>
      <w:r w:rsidR="000D33E9" w:rsidRPr="00DB7156">
        <w:t xml:space="preserve"> </w:t>
      </w:r>
      <w:r w:rsidR="00A0715D">
        <w:t>W</w:t>
      </w:r>
      <w:r w:rsidR="000D33E9" w:rsidRPr="00DB7156">
        <w:t xml:space="preserve">et </w:t>
      </w:r>
      <w:r w:rsidR="00A0715D">
        <w:t xml:space="preserve">scrubber </w:t>
      </w:r>
      <w:r w:rsidR="000D33E9" w:rsidRPr="00DB7156">
        <w:t>processes collect the SO</w:t>
      </w:r>
      <w:r w:rsidR="005758B9">
        <w:rPr>
          <w:vertAlign w:val="subscript"/>
        </w:rPr>
        <w:t>2</w:t>
      </w:r>
      <w:r w:rsidR="000D33E9" w:rsidRPr="00DB7156">
        <w:t xml:space="preserve"> by treating the flue gas with a water-based solution or slurry. One typical design the utility industry uses is a spray tower module where the flue gas flows up the tower and a series of nozzles spray an alkaline solution</w:t>
      </w:r>
      <w:r w:rsidR="00A715B9">
        <w:t>, typically limestone based,</w:t>
      </w:r>
      <w:r w:rsidR="000D33E9" w:rsidRPr="00DB7156">
        <w:t xml:space="preserve"> into the flue gas. </w:t>
      </w:r>
      <w:r w:rsidR="005758B9">
        <w:t>Another type is a jet bubbling reactor where the flue gas flows into a lim</w:t>
      </w:r>
      <w:r w:rsidR="00A715B9">
        <w:t>estone slurry bath</w:t>
      </w:r>
      <w:r w:rsidR="006F401A">
        <w:t xml:space="preserve">. </w:t>
      </w:r>
      <w:r w:rsidR="000D33E9" w:rsidRPr="00DB7156">
        <w:t xml:space="preserve">The chemical </w:t>
      </w:r>
      <w:r w:rsidR="006F401A">
        <w:t xml:space="preserve">reaction </w:t>
      </w:r>
      <w:r w:rsidR="000D33E9" w:rsidRPr="00DB7156">
        <w:t xml:space="preserve">in wet </w:t>
      </w:r>
      <w:r w:rsidR="000D33E9">
        <w:t>FGD</w:t>
      </w:r>
      <w:r w:rsidR="000D33E9" w:rsidRPr="00DB7156">
        <w:t xml:space="preserve">s </w:t>
      </w:r>
      <w:r w:rsidR="006F401A">
        <w:t>between</w:t>
      </w:r>
      <w:r w:rsidR="000D33E9" w:rsidRPr="00DB7156">
        <w:t xml:space="preserve"> limestone </w:t>
      </w:r>
      <w:r w:rsidR="006F401A">
        <w:t xml:space="preserve">and </w:t>
      </w:r>
      <w:r w:rsidR="006F401A" w:rsidRPr="00DB7156">
        <w:t>SO</w:t>
      </w:r>
      <w:r w:rsidR="006F401A">
        <w:rPr>
          <w:vertAlign w:val="subscript"/>
        </w:rPr>
        <w:t>2</w:t>
      </w:r>
      <w:r w:rsidR="006F401A" w:rsidRPr="00DB7156">
        <w:t xml:space="preserve"> </w:t>
      </w:r>
      <w:r w:rsidR="000D33E9" w:rsidRPr="00DB7156">
        <w:t>produce</w:t>
      </w:r>
      <w:r w:rsidR="00AC7791">
        <w:t>s</w:t>
      </w:r>
      <w:r w:rsidR="000D33E9" w:rsidRPr="00DB7156">
        <w:t xml:space="preserve"> predominantly calcium </w:t>
      </w:r>
      <w:r w:rsidR="000D33E9" w:rsidRPr="00DB7156">
        <w:lastRenderedPageBreak/>
        <w:t>sulfate, or gypsum.</w:t>
      </w:r>
      <w:r w:rsidR="000D33E9">
        <w:t xml:space="preserve"> </w:t>
      </w:r>
      <w:r w:rsidR="000D33E9" w:rsidRPr="00DB7156">
        <w:t xml:space="preserve">The wet processes are very efficient and </w:t>
      </w:r>
      <w:r w:rsidR="00A86548">
        <w:t>typically remove 95</w:t>
      </w:r>
      <w:r w:rsidR="00E868FF">
        <w:t>%</w:t>
      </w:r>
      <w:r w:rsidR="00A86548">
        <w:t xml:space="preserve"> </w:t>
      </w:r>
      <w:r w:rsidR="000D33E9" w:rsidRPr="00DB7156">
        <w:t>of the SO</w:t>
      </w:r>
      <w:r w:rsidR="000D33E9" w:rsidRPr="00DB7156">
        <w:rPr>
          <w:vertAlign w:val="subscript"/>
        </w:rPr>
        <w:t>2</w:t>
      </w:r>
      <w:r w:rsidR="000D33E9" w:rsidRPr="00DB7156">
        <w:t xml:space="preserve"> in flue gas.</w:t>
      </w:r>
    </w:p>
    <w:p w14:paraId="03F27B21" w14:textId="05ED653A" w:rsidR="000D33E9" w:rsidRPr="00DB7156" w:rsidRDefault="000D33E9" w:rsidP="007831C3">
      <w:r w:rsidRPr="00DB7156">
        <w:t xml:space="preserve">Dry processes </w:t>
      </w:r>
      <w:r w:rsidR="004027F2">
        <w:t xml:space="preserve">typically </w:t>
      </w:r>
      <w:r w:rsidRPr="00DB7156">
        <w:t>inject an alkaline slurry into the flue gas stream in a spray dryer followed by a particulate control device. The spray dryer is a unit where the hot flue gases are contacted with the wet alkaline spray that absorbs the SO</w:t>
      </w:r>
      <w:r w:rsidRPr="00DB7156">
        <w:rPr>
          <w:vertAlign w:val="subscript"/>
        </w:rPr>
        <w:t>2</w:t>
      </w:r>
      <w:r w:rsidRPr="00DB7156">
        <w:t xml:space="preserve">. The hot flue gas evaporates the water and leaves a dry residue that can then be captured with the fly ash, typically in a baghouse. The residue contains a mixture of calcium sulfite/sulfate, along with the fly ash from the fuel. This waste is </w:t>
      </w:r>
      <w:r w:rsidR="00147ADC">
        <w:t xml:space="preserve">generally </w:t>
      </w:r>
      <w:r w:rsidRPr="00DB7156">
        <w:t>not suitable for other uses and must be disposed of in a landfill. Historically, dry scrubbing is considered to typically remove 75 to 90 percent of the SO</w:t>
      </w:r>
      <w:r w:rsidRPr="00DB7156">
        <w:rPr>
          <w:vertAlign w:val="subscript"/>
        </w:rPr>
        <w:t>2</w:t>
      </w:r>
      <w:r w:rsidRPr="00DB7156">
        <w:t xml:space="preserve"> in flue gas.</w:t>
      </w:r>
    </w:p>
    <w:p w14:paraId="73E65780" w14:textId="77777777" w:rsidR="000D33E9" w:rsidRPr="00FE396A" w:rsidRDefault="000D33E9" w:rsidP="002D3EF7">
      <w:pPr>
        <w:tabs>
          <w:tab w:val="left" w:pos="540"/>
        </w:tabs>
        <w:spacing w:after="0" w:line="240" w:lineRule="auto"/>
        <w:rPr>
          <w:rFonts w:cs="Arial"/>
          <w:b/>
          <w:szCs w:val="24"/>
          <w:u w:val="single"/>
        </w:rPr>
      </w:pPr>
      <w:r w:rsidRPr="00FE396A">
        <w:rPr>
          <w:rFonts w:cs="Arial"/>
          <w:b/>
          <w:szCs w:val="24"/>
          <w:u w:val="single"/>
        </w:rPr>
        <w:t>VII.</w:t>
      </w:r>
      <w:r w:rsidRPr="00FE396A">
        <w:rPr>
          <w:rFonts w:cs="Arial"/>
          <w:b/>
          <w:szCs w:val="24"/>
          <w:u w:val="single"/>
        </w:rPr>
        <w:tab/>
        <w:t>Dry Sorbent Injection (“DSI”)</w:t>
      </w:r>
    </w:p>
    <w:p w14:paraId="37E72908" w14:textId="1D92F067" w:rsidR="000D33E9" w:rsidRPr="00DB7156" w:rsidRDefault="000D33E9" w:rsidP="007831C3">
      <w:r w:rsidRPr="00DB7156">
        <w:t>Dry sorbent injection is a technology that can help reduce acid gas emissions</w:t>
      </w:r>
      <w:r w:rsidR="00657F08">
        <w:t xml:space="preserve">, such as HCl </w:t>
      </w:r>
      <w:r w:rsidRPr="00DB7156">
        <w:t xml:space="preserve">through two basic steps. In step one, a powdered sorbent is injected into the flue gas where it reacts with the HCl. The sorbents </w:t>
      </w:r>
      <w:proofErr w:type="gramStart"/>
      <w:r w:rsidRPr="00DB7156">
        <w:t>most commonly associated</w:t>
      </w:r>
      <w:proofErr w:type="gramEnd"/>
      <w:r w:rsidRPr="00DB7156">
        <w:t xml:space="preserve"> with DSI are trona (sodium sesquicarbonate, a naturally occurring mineral mined in Wyoming), sodium bicarbonate, and hydrated lime. </w:t>
      </w:r>
      <w:r w:rsidR="00465D09">
        <w:t>F</w:t>
      </w:r>
      <w:r w:rsidRPr="00DB7156">
        <w:t xml:space="preserve">or step two, the compound is removed by a downstream </w:t>
      </w:r>
      <w:r>
        <w:t>PM</w:t>
      </w:r>
      <w:r w:rsidRPr="00DB7156">
        <w:t xml:space="preserve"> control device such as an ESP or a baghouse</w:t>
      </w:r>
      <w:r w:rsidR="00465D09">
        <w:t xml:space="preserve">, with HCl removal performance </w:t>
      </w:r>
      <w:r w:rsidR="00AF6A8C">
        <w:t xml:space="preserve">highly </w:t>
      </w:r>
      <w:r w:rsidR="00465D09">
        <w:t>dependent on site-specific factors</w:t>
      </w:r>
      <w:r w:rsidRPr="00DB7156">
        <w:t xml:space="preserve">. </w:t>
      </w:r>
    </w:p>
    <w:p w14:paraId="2709FE01" w14:textId="28B0657B" w:rsidR="000D33E9" w:rsidRPr="00DB7156" w:rsidRDefault="000D33E9" w:rsidP="007831C3">
      <w:r w:rsidRPr="43AD390E">
        <w:t>DSI systems generally do not require significant capital expenses but may rely on significant quantities of sorbent to operate effectively, which increases the operating costs. Waste disposal for DSI may also be a significant variable cost. In addition, DSI's potential effectiveness is limited to certain types of plants</w:t>
      </w:r>
      <w:r w:rsidR="004B0A2F">
        <w:t xml:space="preserve">, typically </w:t>
      </w:r>
      <w:r w:rsidRPr="43AD390E">
        <w:t xml:space="preserve">plants that are 300 megawatts or less and burn low-sulfur coal. </w:t>
      </w:r>
    </w:p>
    <w:p w14:paraId="1CC478F1" w14:textId="77777777"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VIII.</w:t>
      </w:r>
      <w:r w:rsidRPr="00FE396A">
        <w:rPr>
          <w:rFonts w:cs="Arial"/>
          <w:b/>
          <w:szCs w:val="24"/>
          <w:u w:val="single"/>
        </w:rPr>
        <w:tab/>
        <w:t>Baghouses</w:t>
      </w:r>
    </w:p>
    <w:p w14:paraId="76A97D82" w14:textId="072C28CA" w:rsidR="000D33E9" w:rsidRPr="00DB7156" w:rsidRDefault="000D33E9" w:rsidP="007831C3">
      <w:r w:rsidRPr="00DB7156">
        <w:t xml:space="preserve">Baghouses are filter devices that remove solid particles from flue gas streams by passing the gases through a fabric, and thus collecting the particles. </w:t>
      </w:r>
      <w:r w:rsidR="00AF6A8C">
        <w:t>B</w:t>
      </w:r>
      <w:r w:rsidRPr="00DB7156">
        <w:t xml:space="preserve">aghouses can either operate as a standalone control device or in conjunction with other particulate capture devices. </w:t>
      </w:r>
      <w:r w:rsidR="009A251F">
        <w:t>A</w:t>
      </w:r>
      <w:r w:rsidRPr="00DB7156">
        <w:t xml:space="preserve"> baghouse located downstream of an existing ESP was patented by EPRI and is known as a Compact Hybrid Particulate Collector (</w:t>
      </w:r>
      <w:r>
        <w:t>“</w:t>
      </w:r>
      <w:r w:rsidRPr="00DB7156">
        <w:t>COHPAC</w:t>
      </w:r>
      <w:r>
        <w:t>”</w:t>
      </w:r>
      <w:r w:rsidRPr="00DB7156">
        <w:t>).</w:t>
      </w:r>
      <w:r w:rsidR="00CF5102">
        <w:t xml:space="preserve"> </w:t>
      </w:r>
      <w:r w:rsidRPr="00DB7156">
        <w:t>The basic COHPAC concept is to place a pulse-jet fabric filter (</w:t>
      </w:r>
      <w:r>
        <w:t>“</w:t>
      </w:r>
      <w:r w:rsidRPr="00DB7156">
        <w:t>PJFF</w:t>
      </w:r>
      <w:r>
        <w:t>”</w:t>
      </w:r>
      <w:r w:rsidRPr="00DB7156">
        <w:t xml:space="preserve">) downstream of an existing ESP to serve as a “polishing” or performance-upgrading unit. Since the ESP removes a significant amount of the particles from the gas stream the flue gas reaching the baghouse has a significantly reduced dust load. </w:t>
      </w:r>
      <w:r w:rsidR="004702BA">
        <w:t>As a result, t</w:t>
      </w:r>
      <w:r w:rsidRPr="00DB7156">
        <w:t xml:space="preserve">he physical size of a COHPAC PJFF </w:t>
      </w:r>
      <w:r w:rsidR="004702BA">
        <w:t xml:space="preserve">can be </w:t>
      </w:r>
      <w:r w:rsidRPr="00DB7156">
        <w:t>one-fourth the size of a normal PJFF, which</w:t>
      </w:r>
      <w:r w:rsidR="003A4316">
        <w:t xml:space="preserve"> may</w:t>
      </w:r>
      <w:r w:rsidRPr="00DB7156">
        <w:t xml:space="preserve"> reduce the </w:t>
      </w:r>
      <w:r w:rsidR="004702BA">
        <w:t xml:space="preserve">relative </w:t>
      </w:r>
      <w:r w:rsidRPr="00DB7156">
        <w:t>cost significantly.</w:t>
      </w:r>
    </w:p>
    <w:p w14:paraId="56AACBBD" w14:textId="77777777"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IX.</w:t>
      </w:r>
      <w:r w:rsidRPr="00FE396A">
        <w:rPr>
          <w:rFonts w:cs="Arial"/>
          <w:b/>
          <w:szCs w:val="24"/>
          <w:u w:val="single"/>
        </w:rPr>
        <w:tab/>
        <w:t>Activated Carbon Injection (“ACI”) and Alkali Sorbent Injection (“ALK”)</w:t>
      </w:r>
    </w:p>
    <w:p w14:paraId="322A55EB" w14:textId="140EDB93" w:rsidR="000D33E9" w:rsidRPr="00DB7156" w:rsidRDefault="000D33E9" w:rsidP="007831C3">
      <w:r w:rsidRPr="00DB7156">
        <w:t xml:space="preserve">ACI for </w:t>
      </w:r>
      <w:r>
        <w:t>mercury</w:t>
      </w:r>
      <w:r w:rsidRPr="00DB7156">
        <w:t xml:space="preserve"> control involves the addition of powdered activated carbon to flue gas streams where it adsorbs vapor phase mercury. Once injected into the flue gas, the activated carbon (and adsorbed mercury) must be collected in a particulate collection device. The applications of this technology </w:t>
      </w:r>
      <w:r w:rsidR="00061493">
        <w:t xml:space="preserve">include injection </w:t>
      </w:r>
      <w:r w:rsidRPr="00DB7156">
        <w:t>ahead of an ESP or downstream of an existing ESP but upstream of a high ratio (COHPAC) baghouse</w:t>
      </w:r>
      <w:r w:rsidR="005D6838">
        <w:t xml:space="preserve">, which is an EPRI patented technology known as </w:t>
      </w:r>
      <w:r w:rsidR="005D6838" w:rsidRPr="00DB7156">
        <w:t>TOXECON</w:t>
      </w:r>
      <w:r w:rsidR="005D6838" w:rsidRPr="00DB7156">
        <w:rPr>
          <w:vertAlign w:val="superscript"/>
        </w:rPr>
        <w:t>TM</w:t>
      </w:r>
      <w:r w:rsidRPr="00DB7156">
        <w:t xml:space="preserve">. </w:t>
      </w:r>
    </w:p>
    <w:p w14:paraId="09ACD34A" w14:textId="79679B25" w:rsidR="000D33E9" w:rsidRPr="00DB7156" w:rsidRDefault="000D33E9" w:rsidP="007831C3">
      <w:r w:rsidRPr="00DB7156">
        <w:lastRenderedPageBreak/>
        <w:t xml:space="preserve">Typically, due to rapid removal of the carbon in the ESP and limited contact time with the flue gas, these applications typically achieve lower removal of mercury than carbon into baghouses. In either application, the mercury removal effectiveness of </w:t>
      </w:r>
      <w:r>
        <w:t>ACI</w:t>
      </w:r>
      <w:r w:rsidRPr="00DB7156">
        <w:t xml:space="preserve"> can be enhanced when burning coals with higher sulfur content (e.g. non-PRB coals) by employing ALK, typically hydrated lime injection, ahead of the </w:t>
      </w:r>
      <w:r>
        <w:t>ACI</w:t>
      </w:r>
      <w:r w:rsidRPr="00DB7156">
        <w:t>.</w:t>
      </w:r>
      <w:r w:rsidR="007C14B7">
        <w:t xml:space="preserve"> </w:t>
      </w:r>
      <w:r w:rsidRPr="00DB7156">
        <w:t xml:space="preserve">Typically, the hydrated lime used for ALK is less expensive than the activated carbon, so the use of ACI plus ALK is a more economical process than ACI alone for a given mercury capture target. </w:t>
      </w:r>
    </w:p>
    <w:p w14:paraId="1847C731" w14:textId="26EEF339"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X.</w:t>
      </w:r>
      <w:r w:rsidRPr="00FE396A">
        <w:rPr>
          <w:rFonts w:cs="Arial"/>
          <w:b/>
          <w:szCs w:val="24"/>
          <w:u w:val="single"/>
        </w:rPr>
        <w:tab/>
        <w:t>Mercury Re-</w:t>
      </w:r>
      <w:r w:rsidR="000706C1" w:rsidRPr="00FE396A">
        <w:rPr>
          <w:rFonts w:cs="Arial"/>
          <w:b/>
          <w:szCs w:val="24"/>
          <w:u w:val="single"/>
        </w:rPr>
        <w:t>E</w:t>
      </w:r>
      <w:r w:rsidRPr="00FE396A">
        <w:rPr>
          <w:rFonts w:cs="Arial"/>
          <w:b/>
          <w:szCs w:val="24"/>
          <w:u w:val="single"/>
        </w:rPr>
        <w:t>mission Controls System (“MRCS”)</w:t>
      </w:r>
    </w:p>
    <w:p w14:paraId="73A383D0" w14:textId="4C31AB8A" w:rsidR="000D33E9" w:rsidRPr="00DB7156" w:rsidRDefault="000D33E9" w:rsidP="007831C3">
      <w:pPr>
        <w:rPr>
          <w:b/>
          <w:color w:val="000080"/>
        </w:rPr>
      </w:pPr>
      <w:r w:rsidRPr="00DB7156">
        <w:t xml:space="preserve">Wet </w:t>
      </w:r>
      <w:r w:rsidR="001922CE">
        <w:t>scrubbers</w:t>
      </w:r>
      <w:r w:rsidRPr="00DB7156">
        <w:t xml:space="preserve"> are effective at removing oxidized mercury. However, as the captured mercury may remain in a dissolved form in the </w:t>
      </w:r>
      <w:r w:rsidR="001922CE">
        <w:t>scrubber</w:t>
      </w:r>
      <w:r w:rsidRPr="00DB7156">
        <w:t xml:space="preserve"> slurry in the vessel, the </w:t>
      </w:r>
      <w:r w:rsidR="001922CE">
        <w:t>scrubber</w:t>
      </w:r>
      <w:r w:rsidRPr="00DB7156">
        <w:t xml:space="preserve"> may from time to time re-emit the mercury that was captured from the flue gas</w:t>
      </w:r>
      <w:r w:rsidR="001922CE">
        <w:t xml:space="preserve">, causing </w:t>
      </w:r>
      <w:r w:rsidRPr="00DB7156">
        <w:t>increased levels of mercury emissions out of the stack. The addition of additives</w:t>
      </w:r>
      <w:r w:rsidR="001922CE">
        <w:t xml:space="preserve">, such as </w:t>
      </w:r>
      <w:r w:rsidR="00D8222D">
        <w:t>activated carbon,</w:t>
      </w:r>
      <w:r w:rsidRPr="00DB7156">
        <w:t xml:space="preserve"> into the </w:t>
      </w:r>
      <w:r w:rsidR="001922CE">
        <w:t>scrubber</w:t>
      </w:r>
      <w:r w:rsidRPr="00DB7156">
        <w:t xml:space="preserve"> slurry can help prevent the occurrence of mercury re-emission by encouraging the </w:t>
      </w:r>
      <w:r w:rsidR="00777CFB">
        <w:t xml:space="preserve">precipitation of the </w:t>
      </w:r>
      <w:r w:rsidRPr="00DB7156">
        <w:t>mercury dissolved in the slurry</w:t>
      </w:r>
      <w:r w:rsidR="00777CFB">
        <w:t>.</w:t>
      </w:r>
      <w:r w:rsidRPr="00DB7156">
        <w:t xml:space="preserve"> </w:t>
      </w:r>
    </w:p>
    <w:p w14:paraId="48A24BAC" w14:textId="3E6F310B" w:rsidR="000D33E9" w:rsidRPr="00FE396A" w:rsidRDefault="000D33E9" w:rsidP="00FE396A">
      <w:pPr>
        <w:tabs>
          <w:tab w:val="left" w:pos="540"/>
        </w:tabs>
        <w:spacing w:after="0" w:line="240" w:lineRule="auto"/>
        <w:rPr>
          <w:rFonts w:cs="Arial"/>
          <w:b/>
          <w:szCs w:val="24"/>
          <w:u w:val="single"/>
        </w:rPr>
      </w:pPr>
      <w:bookmarkStart w:id="98" w:name="_Hlk534293831"/>
      <w:r w:rsidRPr="00FE396A">
        <w:rPr>
          <w:rFonts w:cs="Arial"/>
          <w:b/>
          <w:szCs w:val="24"/>
          <w:u w:val="single"/>
        </w:rPr>
        <w:t>XI.</w:t>
      </w:r>
      <w:r w:rsidRPr="00FE396A">
        <w:rPr>
          <w:rFonts w:cs="Arial"/>
          <w:b/>
          <w:szCs w:val="24"/>
          <w:u w:val="single"/>
        </w:rPr>
        <w:tab/>
        <w:t>Containment and Control Technologies for Ash Storage Areas</w:t>
      </w:r>
    </w:p>
    <w:p w14:paraId="01096C33" w14:textId="2C9BF336" w:rsidR="000D33E9" w:rsidRPr="00DB7156" w:rsidRDefault="000D33E9" w:rsidP="007831C3">
      <w:r w:rsidRPr="00DB7156">
        <w:t xml:space="preserve">Several technologies are available to control and close ash storage areas. The most common </w:t>
      </w:r>
      <w:r w:rsidR="00AA75EC">
        <w:t>or traditional</w:t>
      </w:r>
      <w:r w:rsidR="00D673AB">
        <w:t xml:space="preserve"> closure</w:t>
      </w:r>
      <w:r w:rsidRPr="00DB7156">
        <w:t xml:space="preserve"> technologies </w:t>
      </w:r>
      <w:r w:rsidR="00D557EE">
        <w:t>approaches</w:t>
      </w:r>
      <w:r w:rsidRPr="00DB7156">
        <w:t xml:space="preserve"> include </w:t>
      </w:r>
      <w:r w:rsidR="00D557EE">
        <w:t>reducing the closure footprint through consolidation</w:t>
      </w:r>
      <w:r w:rsidR="00F256C1">
        <w:t xml:space="preserve"> or partial removal of material,</w:t>
      </w:r>
      <w:r w:rsidRPr="00DB7156">
        <w:t xml:space="preserve"> liners</w:t>
      </w:r>
      <w:r w:rsidR="00D673AB">
        <w:t xml:space="preserve"> and </w:t>
      </w:r>
      <w:r w:rsidRPr="00DB7156">
        <w:t xml:space="preserve"> cap</w:t>
      </w:r>
      <w:r w:rsidR="00D673AB">
        <w:t xml:space="preserve"> system</w:t>
      </w:r>
      <w:r w:rsidRPr="00DB7156">
        <w:t>s</w:t>
      </w:r>
      <w:r w:rsidR="00D673AB">
        <w:t xml:space="preserve">. </w:t>
      </w:r>
      <w:r w:rsidR="00BF5D21">
        <w:t xml:space="preserve"> </w:t>
      </w:r>
      <w:r w:rsidR="00040531">
        <w:t>Proven e</w:t>
      </w:r>
      <w:r w:rsidR="00BF5D21">
        <w:t xml:space="preserve">ngineering </w:t>
      </w:r>
      <w:r w:rsidR="00967601">
        <w:t>methods</w:t>
      </w:r>
      <w:r w:rsidR="00BF5D21">
        <w:t xml:space="preserve"> </w:t>
      </w:r>
      <w:r w:rsidR="00A327BF">
        <w:t>that</w:t>
      </w:r>
      <w:r w:rsidR="00421BE3">
        <w:t xml:space="preserve"> divert (</w:t>
      </w:r>
      <w:r w:rsidRPr="00DB7156">
        <w:t xml:space="preserve">slurry walls, sheet pile walls, and </w:t>
      </w:r>
      <w:r w:rsidRPr="00DB7156">
        <w:rPr>
          <w:i/>
        </w:rPr>
        <w:t>in situ</w:t>
      </w:r>
      <w:r w:rsidRPr="00DB7156">
        <w:t xml:space="preserve"> solidification and stabilization</w:t>
      </w:r>
      <w:r w:rsidR="00421BE3">
        <w:t>) or extract (</w:t>
      </w:r>
      <w:r w:rsidR="00071738">
        <w:t xml:space="preserve">vertical and/or horizontal </w:t>
      </w:r>
      <w:r w:rsidR="00421BE3">
        <w:t>pumping wells</w:t>
      </w:r>
      <w:r w:rsidR="00071738">
        <w:t xml:space="preserve"> and</w:t>
      </w:r>
      <w:r w:rsidR="00421BE3">
        <w:t xml:space="preserve"> </w:t>
      </w:r>
      <w:r w:rsidR="00071738">
        <w:t>French drains)</w:t>
      </w:r>
      <w:r w:rsidR="00421BE3">
        <w:t xml:space="preserve"> </w:t>
      </w:r>
      <w:r w:rsidR="006F14AB">
        <w:t>water from the system</w:t>
      </w:r>
      <w:r w:rsidR="00203462">
        <w:t xml:space="preserve"> can be </w:t>
      </w:r>
      <w:r w:rsidR="00AA75EC">
        <w:t>used to supplement the traditional closure technologies and manage water during closure and post closure</w:t>
      </w:r>
      <w:r w:rsidRPr="00DB7156">
        <w:t>. A brief description of each technology is provided below.</w:t>
      </w:r>
    </w:p>
    <w:p w14:paraId="504694AA" w14:textId="77777777" w:rsidR="000D33E9" w:rsidRPr="00FE396A" w:rsidRDefault="000D33E9" w:rsidP="002D3EF7">
      <w:pPr>
        <w:spacing w:after="0" w:line="240" w:lineRule="auto"/>
        <w:rPr>
          <w:rFonts w:cs="Arial"/>
          <w:b/>
          <w:szCs w:val="24"/>
        </w:rPr>
      </w:pPr>
      <w:r w:rsidRPr="00FE396A">
        <w:rPr>
          <w:rFonts w:cs="Arial"/>
          <w:b/>
          <w:szCs w:val="24"/>
        </w:rPr>
        <w:t>Closure Footprint Reduction</w:t>
      </w:r>
    </w:p>
    <w:p w14:paraId="3EC21DE4" w14:textId="45B40520" w:rsidR="000D33E9" w:rsidRPr="00B87D57" w:rsidRDefault="000D33E9" w:rsidP="007831C3">
      <w:r>
        <w:t xml:space="preserve">Ash ponds closed in place may involve consolidating ash into a smaller footprint </w:t>
      </w:r>
      <w:r w:rsidR="003537F7">
        <w:t>to</w:t>
      </w:r>
      <w:r>
        <w:t xml:space="preserve"> reduce the area requiring long term O&amp;M associated with maintaining the closed facility. </w:t>
      </w:r>
    </w:p>
    <w:p w14:paraId="2EE6C7D2" w14:textId="77777777" w:rsidR="000D33E9" w:rsidRPr="00FE396A" w:rsidRDefault="000D33E9" w:rsidP="002D3EF7">
      <w:pPr>
        <w:spacing w:after="0" w:line="240" w:lineRule="auto"/>
        <w:rPr>
          <w:rFonts w:cs="Arial"/>
          <w:b/>
          <w:szCs w:val="24"/>
        </w:rPr>
      </w:pPr>
      <w:r w:rsidRPr="00FE396A">
        <w:rPr>
          <w:rFonts w:cs="Arial"/>
          <w:b/>
          <w:szCs w:val="24"/>
        </w:rPr>
        <w:t>Liners</w:t>
      </w:r>
    </w:p>
    <w:p w14:paraId="668C8A9E" w14:textId="77777777" w:rsidR="000D33E9" w:rsidRPr="00DB7156" w:rsidRDefault="000D33E9" w:rsidP="007831C3">
      <w:pPr>
        <w:rPr>
          <w:b/>
          <w:u w:val="single"/>
        </w:rPr>
      </w:pPr>
      <w:r w:rsidRPr="00DB7156">
        <w:t>A liner is a layer of impermeable or low-permeability material placed at the bottom of ash storage facilities, which prevents ash leachate from entering soil and groundwater. Liners can be constructed of compacted natural material (such as clay), synthetic m</w:t>
      </w:r>
      <w:r>
        <w:t>aterials (such as High-Density Polyethylene</w:t>
      </w:r>
      <w:r w:rsidRPr="00DB7156">
        <w:t xml:space="preserve"> </w:t>
      </w:r>
      <w:r>
        <w:t>(“</w:t>
      </w:r>
      <w:r w:rsidRPr="00DB7156">
        <w:t>HDPE</w:t>
      </w:r>
      <w:r>
        <w:t>”</w:t>
      </w:r>
      <w:r w:rsidRPr="00DB7156">
        <w:t>)</w:t>
      </w:r>
      <w:r>
        <w:t>)</w:t>
      </w:r>
      <w:r w:rsidRPr="00DB7156">
        <w:t>, or composite materials (combination of synthetic and natural materials). Regulations</w:t>
      </w:r>
      <w:r w:rsidRPr="00DB7156" w:rsidDel="000A5E7E">
        <w:t xml:space="preserve"> </w:t>
      </w:r>
      <w:r w:rsidRPr="00DB7156">
        <w:t>require liners under new ash storage areas.</w:t>
      </w:r>
    </w:p>
    <w:p w14:paraId="24EC1DCB" w14:textId="77777777" w:rsidR="000D33E9" w:rsidRPr="00FE396A" w:rsidRDefault="000D33E9" w:rsidP="002D3EF7">
      <w:pPr>
        <w:spacing w:after="0" w:line="240" w:lineRule="auto"/>
        <w:rPr>
          <w:rFonts w:cs="Arial"/>
          <w:b/>
          <w:szCs w:val="24"/>
        </w:rPr>
      </w:pPr>
      <w:r w:rsidRPr="00FE396A">
        <w:rPr>
          <w:rFonts w:cs="Arial"/>
          <w:b/>
          <w:szCs w:val="24"/>
        </w:rPr>
        <w:t>Caps</w:t>
      </w:r>
    </w:p>
    <w:p w14:paraId="113FB32A" w14:textId="3895A265" w:rsidR="000D33E9" w:rsidRPr="00DB7156" w:rsidRDefault="000D33E9" w:rsidP="007831C3">
      <w:pPr>
        <w:rPr>
          <w:rFonts w:cs="Arial"/>
        </w:rPr>
      </w:pPr>
      <w:r w:rsidRPr="00A45645">
        <w:t>A cap is a layer of impermeable or low-permeability material placed on top of ash storage areas, to prevent</w:t>
      </w:r>
      <w:r w:rsidRPr="007831C3">
        <w:t xml:space="preserve"> </w:t>
      </w:r>
      <w:r w:rsidRPr="00A45645">
        <w:t>surface water infiltration and resulting leachate. As with liners, caps can be constructed of natural materials (for example, compacted clay), synthetic materials (HDPE), or composite materials. Capping may be used in conjunction with other proven engineering methods to effectively encapsulate a material in place</w:t>
      </w:r>
      <w:r w:rsidRPr="3671CFEC">
        <w:rPr>
          <w:rFonts w:cs="Arial"/>
        </w:rPr>
        <w:t>.</w:t>
      </w:r>
    </w:p>
    <w:p w14:paraId="63B11AAA" w14:textId="77777777" w:rsidR="000D33E9" w:rsidRPr="00FE396A" w:rsidRDefault="000D33E9" w:rsidP="002D3EF7">
      <w:pPr>
        <w:keepNext/>
        <w:keepLines/>
        <w:spacing w:after="0" w:line="240" w:lineRule="auto"/>
        <w:rPr>
          <w:rFonts w:cs="Arial"/>
          <w:b/>
          <w:szCs w:val="24"/>
        </w:rPr>
      </w:pPr>
      <w:r w:rsidRPr="00FE396A">
        <w:rPr>
          <w:rFonts w:cs="Arial"/>
          <w:b/>
          <w:szCs w:val="24"/>
        </w:rPr>
        <w:lastRenderedPageBreak/>
        <w:t>Slurry Walls</w:t>
      </w:r>
    </w:p>
    <w:p w14:paraId="1C58CA52" w14:textId="7144BD90" w:rsidR="000D33E9" w:rsidRPr="00DB7156" w:rsidRDefault="000D33E9" w:rsidP="007831C3">
      <w:r w:rsidRPr="00DB7156">
        <w:t xml:space="preserve">Slurry walls are subsurface walls </w:t>
      </w:r>
      <w:r w:rsidRPr="003A2A49">
        <w:t>that are designed and installed to a pre-determined depth based on site conditions and project objective</w:t>
      </w:r>
      <w:r>
        <w:t>s</w:t>
      </w:r>
      <w:r w:rsidR="00040531">
        <w:t xml:space="preserve"> to divert water away from </w:t>
      </w:r>
      <w:r w:rsidR="008232EC">
        <w:t>ash closed in place</w:t>
      </w:r>
      <w:r w:rsidRPr="00DB7156">
        <w:t xml:space="preserve">. </w:t>
      </w:r>
      <w:r w:rsidR="000919C5">
        <w:t>A</w:t>
      </w:r>
      <w:r w:rsidRPr="00DB7156">
        <w:t xml:space="preserve"> trench is filled with a slurry of materials that forms a barrier to prevent the migration of groundwater within the area. Slurry materials can include various mixtures of soil, bentonite clay, and/or cement.</w:t>
      </w:r>
    </w:p>
    <w:p w14:paraId="2EE4B61E" w14:textId="1426C0E5" w:rsidR="000D33E9" w:rsidRPr="00FE396A" w:rsidRDefault="000D33E9" w:rsidP="002D3EF7">
      <w:pPr>
        <w:spacing w:after="0" w:line="240" w:lineRule="auto"/>
        <w:rPr>
          <w:rFonts w:cs="Arial"/>
          <w:b/>
          <w:szCs w:val="24"/>
        </w:rPr>
      </w:pPr>
      <w:r w:rsidRPr="00FE396A">
        <w:rPr>
          <w:rFonts w:cs="Arial"/>
          <w:b/>
          <w:szCs w:val="24"/>
        </w:rPr>
        <w:t>Sheet Pile Walls</w:t>
      </w:r>
    </w:p>
    <w:p w14:paraId="172B5C5E" w14:textId="3D2EFC9D" w:rsidR="000D33E9" w:rsidRPr="00DB7156" w:rsidRDefault="000D33E9" w:rsidP="007831C3">
      <w:r w:rsidRPr="00DB7156">
        <w:t>Sheet pil</w:t>
      </w:r>
      <w:r w:rsidR="005C34F0">
        <w:t>e walls</w:t>
      </w:r>
      <w:r w:rsidRPr="00DB7156">
        <w:t xml:space="preserve"> include interlocking wood, concrete, or steel sectors driven into the ground or forced into pre-dug trenches </w:t>
      </w:r>
      <w:r w:rsidR="00D16128">
        <w:t>to a specified design depth based on project objectives</w:t>
      </w:r>
      <w:r w:rsidRPr="00DB7156">
        <w:t xml:space="preserve">. As with slurry walls, sheet pile walls form a barrier to </w:t>
      </w:r>
      <w:r w:rsidR="00CA00AA">
        <w:t>control</w:t>
      </w:r>
      <w:r w:rsidRPr="00DB7156">
        <w:t xml:space="preserve"> the migration of groundwater. Sheet piling is often used as a temporary measure of containment </w:t>
      </w:r>
      <w:r w:rsidR="00E61D71">
        <w:t xml:space="preserve">during closure to </w:t>
      </w:r>
      <w:r w:rsidR="0079600C">
        <w:t>facilitate</w:t>
      </w:r>
      <w:r w:rsidR="00E61D71" w:rsidRPr="00DB7156">
        <w:t xml:space="preserve"> </w:t>
      </w:r>
      <w:r w:rsidRPr="00DB7156">
        <w:t xml:space="preserve">dewatering </w:t>
      </w:r>
      <w:r w:rsidR="0079600C">
        <w:t>and</w:t>
      </w:r>
      <w:r w:rsidR="0079600C" w:rsidRPr="00DB7156">
        <w:t xml:space="preserve"> </w:t>
      </w:r>
      <w:r w:rsidRPr="00DB7156">
        <w:t>excavation, or while other containment is constructed.</w:t>
      </w:r>
    </w:p>
    <w:p w14:paraId="4EEC18CD" w14:textId="5570E20F" w:rsidR="000D33E9" w:rsidRPr="00FE396A" w:rsidRDefault="000D33E9" w:rsidP="00FE396A">
      <w:pPr>
        <w:keepNext/>
        <w:spacing w:after="0" w:line="240" w:lineRule="auto"/>
        <w:rPr>
          <w:rFonts w:cs="Arial"/>
          <w:b/>
          <w:szCs w:val="24"/>
        </w:rPr>
      </w:pPr>
      <w:r w:rsidRPr="00FE396A">
        <w:rPr>
          <w:rFonts w:cs="Arial"/>
          <w:b/>
          <w:szCs w:val="24"/>
        </w:rPr>
        <w:t xml:space="preserve">In </w:t>
      </w:r>
      <w:r w:rsidR="00286110" w:rsidRPr="00FE396A">
        <w:rPr>
          <w:rFonts w:cs="Arial"/>
          <w:b/>
          <w:szCs w:val="24"/>
        </w:rPr>
        <w:t>S</w:t>
      </w:r>
      <w:r w:rsidRPr="00FE396A">
        <w:rPr>
          <w:rFonts w:cs="Arial"/>
          <w:b/>
          <w:szCs w:val="24"/>
        </w:rPr>
        <w:t>itu Solidification/Stabilization</w:t>
      </w:r>
    </w:p>
    <w:p w14:paraId="4AE2A007" w14:textId="17ACE4E4" w:rsidR="00AF09EB" w:rsidRDefault="000D33E9" w:rsidP="007831C3">
      <w:pPr>
        <w:rPr>
          <w:snapToGrid w:val="0"/>
        </w:rPr>
      </w:pPr>
      <w:r w:rsidRPr="00DB7156">
        <w:rPr>
          <w:snapToGrid w:val="0"/>
        </w:rPr>
        <w:t xml:space="preserve">Solidification/stabilization describes the technique of solidifying soil or waste material, to reduce the potential for groundwater interaction. Solidification refers to the addition of a binder to produce a solid. Stabilization refers to the addition of a chemical agent to convert the soil or waste material to a more chemically stable form. Some additives, such as Portland cement, produce both physical and chemical changes. Large augers or equipment with rotary blades are </w:t>
      </w:r>
      <w:r>
        <w:rPr>
          <w:snapToGrid w:val="0"/>
        </w:rPr>
        <w:t xml:space="preserve">typically </w:t>
      </w:r>
      <w:r w:rsidRPr="00DB7156">
        <w:rPr>
          <w:snapToGrid w:val="0"/>
        </w:rPr>
        <w:t>used to mix the additives with contaminated soil or waste material.</w:t>
      </w:r>
    </w:p>
    <w:p w14:paraId="3A7A0DF8" w14:textId="2B2F09B1" w:rsidR="00030760" w:rsidRPr="007831C3" w:rsidRDefault="00176379" w:rsidP="00C942DB">
      <w:pPr>
        <w:spacing w:after="0" w:line="240" w:lineRule="auto"/>
        <w:rPr>
          <w:rFonts w:cs="Arial"/>
          <w:b/>
          <w:snapToGrid w:val="0"/>
          <w:szCs w:val="24"/>
          <w:u w:val="single"/>
        </w:rPr>
      </w:pPr>
      <w:r w:rsidRPr="007831C3">
        <w:rPr>
          <w:rFonts w:cs="Arial"/>
          <w:b/>
          <w:snapToGrid w:val="0"/>
          <w:szCs w:val="24"/>
          <w:u w:val="single"/>
        </w:rPr>
        <w:t>Pumping Wells/French Drains</w:t>
      </w:r>
    </w:p>
    <w:p w14:paraId="52804A89" w14:textId="293900C1" w:rsidR="000D33E9" w:rsidRPr="00DB7156" w:rsidRDefault="00C94DE1" w:rsidP="007831C3">
      <w:pPr>
        <w:rPr>
          <w:snapToGrid w:val="0"/>
        </w:rPr>
      </w:pPr>
      <w:r>
        <w:rPr>
          <w:snapToGrid w:val="0"/>
        </w:rPr>
        <w:t xml:space="preserve">Pumping wells, both horizontal and vertical, and French drains can be used to intercept and remove water from </w:t>
      </w:r>
      <w:r w:rsidR="001862CE">
        <w:rPr>
          <w:snapToGrid w:val="0"/>
        </w:rPr>
        <w:t xml:space="preserve">the subsurface </w:t>
      </w:r>
      <w:r w:rsidR="00081DA1">
        <w:rPr>
          <w:snapToGrid w:val="0"/>
        </w:rPr>
        <w:t>during and after</w:t>
      </w:r>
      <w:r w:rsidR="001862CE">
        <w:rPr>
          <w:snapToGrid w:val="0"/>
        </w:rPr>
        <w:t xml:space="preserve"> </w:t>
      </w:r>
      <w:r w:rsidR="00FC011F">
        <w:rPr>
          <w:snapToGrid w:val="0"/>
        </w:rPr>
        <w:t>closure</w:t>
      </w:r>
      <w:r w:rsidR="00081DA1">
        <w:rPr>
          <w:snapToGrid w:val="0"/>
        </w:rPr>
        <w:t xml:space="preserve">. </w:t>
      </w:r>
      <w:r w:rsidR="00D77FBF">
        <w:rPr>
          <w:snapToGrid w:val="0"/>
        </w:rPr>
        <w:t>Pumping wells are perforated pipes installed in the subsurface</w:t>
      </w:r>
      <w:r w:rsidR="00DB7F72">
        <w:rPr>
          <w:snapToGrid w:val="0"/>
        </w:rPr>
        <w:t xml:space="preserve"> either vertically or horizontally</w:t>
      </w:r>
      <w:r w:rsidR="003001A4">
        <w:rPr>
          <w:snapToGrid w:val="0"/>
        </w:rPr>
        <w:t xml:space="preserve"> where</w:t>
      </w:r>
      <w:r w:rsidR="00DB7F72">
        <w:rPr>
          <w:snapToGrid w:val="0"/>
        </w:rPr>
        <w:t xml:space="preserve"> water</w:t>
      </w:r>
      <w:r w:rsidR="003001A4">
        <w:rPr>
          <w:snapToGrid w:val="0"/>
        </w:rPr>
        <w:t xml:space="preserve"> collects and</w:t>
      </w:r>
      <w:r w:rsidR="00F12582">
        <w:rPr>
          <w:snapToGrid w:val="0"/>
        </w:rPr>
        <w:t xml:space="preserve"> is removed through pumping</w:t>
      </w:r>
      <w:r w:rsidR="001862CE">
        <w:rPr>
          <w:snapToGrid w:val="0"/>
        </w:rPr>
        <w:t>.</w:t>
      </w:r>
      <w:r w:rsidR="00B80A8C">
        <w:rPr>
          <w:snapToGrid w:val="0"/>
        </w:rPr>
        <w:t xml:space="preserve"> </w:t>
      </w:r>
      <w:r w:rsidR="00083465">
        <w:rPr>
          <w:snapToGrid w:val="0"/>
        </w:rPr>
        <w:t xml:space="preserve">French drains </w:t>
      </w:r>
      <w:r w:rsidR="001D0507">
        <w:rPr>
          <w:snapToGrid w:val="0"/>
        </w:rPr>
        <w:t xml:space="preserve">are perforated pipes </w:t>
      </w:r>
      <w:r w:rsidR="000502AC">
        <w:rPr>
          <w:snapToGrid w:val="0"/>
        </w:rPr>
        <w:t xml:space="preserve">installed </w:t>
      </w:r>
      <w:r w:rsidR="0047591E">
        <w:rPr>
          <w:snapToGrid w:val="0"/>
        </w:rPr>
        <w:t>in the subsurface to collect and convey water either through gravity drainage or pumping. In both</w:t>
      </w:r>
      <w:r w:rsidR="00AC2F23">
        <w:rPr>
          <w:snapToGrid w:val="0"/>
        </w:rPr>
        <w:t xml:space="preserve"> extraction methods,</w:t>
      </w:r>
      <w:r w:rsidR="0047591E">
        <w:rPr>
          <w:snapToGrid w:val="0"/>
        </w:rPr>
        <w:t xml:space="preserve"> </w:t>
      </w:r>
      <w:r w:rsidR="00F70247">
        <w:rPr>
          <w:snapToGrid w:val="0"/>
        </w:rPr>
        <w:t xml:space="preserve">water is removed from the system, treated, and discharged. </w:t>
      </w:r>
      <w:r w:rsidR="0047591E">
        <w:rPr>
          <w:snapToGrid w:val="0"/>
        </w:rPr>
        <w:t xml:space="preserve"> </w:t>
      </w:r>
      <w:r w:rsidR="001862CE">
        <w:rPr>
          <w:snapToGrid w:val="0"/>
        </w:rPr>
        <w:t xml:space="preserve"> </w:t>
      </w:r>
    </w:p>
    <w:bookmarkEnd w:id="98"/>
    <w:p w14:paraId="1FEF335C" w14:textId="77777777"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XII.</w:t>
      </w:r>
      <w:r w:rsidRPr="00FE396A">
        <w:rPr>
          <w:rFonts w:cs="Arial"/>
          <w:b/>
          <w:szCs w:val="24"/>
          <w:u w:val="single"/>
        </w:rPr>
        <w:tab/>
        <w:t>Cooling Water Intake Screen Technology</w:t>
      </w:r>
    </w:p>
    <w:p w14:paraId="1ED9B01F" w14:textId="4F94A9C8" w:rsidR="000D33E9" w:rsidRPr="00DB7156" w:rsidRDefault="000D33E9" w:rsidP="007831C3">
      <w:pPr>
        <w:rPr>
          <w:b/>
          <w:color w:val="CC0000"/>
        </w:rPr>
      </w:pPr>
      <w:r w:rsidRPr="00DB7156">
        <w:t>Inclined traveling water screens (</w:t>
      </w:r>
      <w:r>
        <w:t>“</w:t>
      </w:r>
      <w:r w:rsidRPr="00DB7156">
        <w:t>TWS</w:t>
      </w:r>
      <w:r>
        <w:t>”</w:t>
      </w:r>
      <w:r w:rsidRPr="00DB7156">
        <w:t>) and cylindrical wedge wire screens (</w:t>
      </w:r>
      <w:r>
        <w:t>“</w:t>
      </w:r>
      <w:r w:rsidRPr="00DB7156">
        <w:t>CWWS</w:t>
      </w:r>
      <w:r>
        <w:t>”</w:t>
      </w:r>
      <w:r w:rsidRPr="00DB7156">
        <w:t>) will generally be the preferred water screen technologies. Both screens will allow debris handling and the design is also adaptable to minimize impingement and entrainment. Screen wash systems for the TWS and airburst systems for the CWWS can maintain screen cleanliness to an acceptable level. If needed, continuous fish and debris handling systems can also be designed to work with the TWS. As needed, fish-return technologies are also available.</w:t>
      </w:r>
    </w:p>
    <w:p w14:paraId="43898A86" w14:textId="77777777"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XIII.</w:t>
      </w:r>
      <w:r w:rsidRPr="00FE396A">
        <w:rPr>
          <w:rFonts w:cs="Arial"/>
          <w:b/>
          <w:szCs w:val="24"/>
          <w:u w:val="single"/>
        </w:rPr>
        <w:tab/>
        <w:t>Water Cooling Technologies</w:t>
      </w:r>
    </w:p>
    <w:p w14:paraId="5E53B221" w14:textId="70FBCF19" w:rsidR="000D33E9" w:rsidRPr="00DB7156" w:rsidRDefault="000D33E9" w:rsidP="007831C3">
      <w:r w:rsidRPr="00DB7156">
        <w:t xml:space="preserve">Cooling water systems are generally placed into two </w:t>
      </w:r>
      <w:r w:rsidRPr="6A44F22A">
        <w:t>categories</w:t>
      </w:r>
      <w:r w:rsidRPr="00DB7156">
        <w:t xml:space="preserve">: either wet systems, which use water as the cooling medium, or dry systems that </w:t>
      </w:r>
      <w:r w:rsidRPr="6A44F22A">
        <w:t>utilize</w:t>
      </w:r>
      <w:r w:rsidRPr="00DB7156">
        <w:t xml:space="preserve"> air.</w:t>
      </w:r>
      <w:r>
        <w:t xml:space="preserve"> </w:t>
      </w:r>
      <w:r w:rsidRPr="00DB7156">
        <w:t xml:space="preserve">Wet cooling systems withdraw water to absorb heat via indirect contact with steam in a condenser. These wet cooling systems are divided into two types, based on the </w:t>
      </w:r>
      <w:proofErr w:type="gramStart"/>
      <w:r w:rsidRPr="00DB7156">
        <w:t>manner in which</w:t>
      </w:r>
      <w:proofErr w:type="gramEnd"/>
      <w:r w:rsidRPr="00DB7156">
        <w:t xml:space="preserve"> the cooling water is used: once-through and closed-cycle </w:t>
      </w:r>
      <w:r w:rsidRPr="00DB7156">
        <w:lastRenderedPageBreak/>
        <w:t>systems with cooling towers or ponds. Unlike once-through systems that continuously draw fresh cold water from a large water source, closed cycle systems recirculate the same cooling water in a continuous loop through the condenser, with only very small amounts of water being withdrawn from a source to replace the water that is lost due to evaporation, drift, and blowdown in the cooling tower.</w:t>
      </w:r>
      <w:r w:rsidR="007C14B7">
        <w:t xml:space="preserve"> </w:t>
      </w:r>
    </w:p>
    <w:p w14:paraId="4BE5832A" w14:textId="4CD65FB2" w:rsidR="000D33E9" w:rsidRPr="00DB7156" w:rsidRDefault="000D33E9" w:rsidP="007831C3">
      <w:r w:rsidRPr="00DB7156">
        <w:t xml:space="preserve">Because of the relative simplicity, the capital and operating costs for once-through systems are less than those for closed-cycle systems with a cooling tower. Once-through systems can also include helper cooling towers to reduce thermal load at the water discharge point, but these systems do not reduce water withdrawals. </w:t>
      </w:r>
      <w:r>
        <w:t>C</w:t>
      </w:r>
      <w:r w:rsidRPr="00DB7156">
        <w:t>losed-cycle cooling water system</w:t>
      </w:r>
      <w:r>
        <w:t>s</w:t>
      </w:r>
      <w:r w:rsidRPr="00DB7156">
        <w:t xml:space="preserve"> reduce water withdrawals </w:t>
      </w:r>
      <w:r w:rsidR="001222D4">
        <w:t xml:space="preserve">by </w:t>
      </w:r>
      <w:r w:rsidRPr="00DB7156">
        <w:t>about 95%.</w:t>
      </w:r>
      <w:r w:rsidR="00E559F3">
        <w:t xml:space="preserve"> </w:t>
      </w:r>
      <w:r w:rsidRPr="00DB7156">
        <w:t xml:space="preserve">Because of this, </w:t>
      </w:r>
      <w:r>
        <w:t>use</w:t>
      </w:r>
      <w:r w:rsidRPr="00DB7156">
        <w:t xml:space="preserve"> of a closed-cycle system with a cooling tower is one potential method of minimizing impingement and entrainment. However, consumptive use of water </w:t>
      </w:r>
      <w:r>
        <w:t>is</w:t>
      </w:r>
      <w:r w:rsidRPr="00DB7156">
        <w:t xml:space="preserve"> increased from use of cooling towers and approximately 75% of the cooling water withdrawn is not returned to source but is lost to the atmosphere via evaporation. </w:t>
      </w:r>
    </w:p>
    <w:p w14:paraId="3EE5C0AB" w14:textId="78AA443C" w:rsidR="000D33E9" w:rsidRPr="00DB7156" w:rsidRDefault="000D33E9" w:rsidP="007831C3">
      <w:r w:rsidRPr="00DB7156">
        <w:t xml:space="preserve">Dry cooling systems transfer heat to the atmosphere without the use of water. Steam leaving the turbine is piped to an air-cooled, finned-tube condenser. Dry cooling </w:t>
      </w:r>
      <w:r w:rsidR="001222D4">
        <w:t>reduces</w:t>
      </w:r>
      <w:r w:rsidRPr="00DB7156">
        <w:t xml:space="preserve"> power plant efficiency, requires a large area of land, and is more expensive than wet cooling. A hybrid system incorporates elements of both wet and dry cooling systems to maximize the benefits of each. Few large-scale applications of hybrid systems exist in the United States and the cost is commensurate with that of dry cooling. Neither a dry nor a hybrid cooling system is considered an economically or technically viable option for retrofit of an existing generating unit in the Southeast.</w:t>
      </w:r>
    </w:p>
    <w:p w14:paraId="13AFC130" w14:textId="4A796BE8"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XV.</w:t>
      </w:r>
      <w:r w:rsidR="00646B0A" w:rsidRPr="00FE396A">
        <w:rPr>
          <w:rFonts w:cs="Arial"/>
          <w:b/>
          <w:szCs w:val="24"/>
          <w:u w:val="single"/>
        </w:rPr>
        <w:tab/>
      </w:r>
      <w:r w:rsidR="00AE210A" w:rsidRPr="00FE396A">
        <w:rPr>
          <w:rFonts w:cs="Arial"/>
          <w:b/>
          <w:szCs w:val="24"/>
          <w:u w:val="single"/>
        </w:rPr>
        <w:tab/>
      </w:r>
      <w:r w:rsidR="0035063E" w:rsidRPr="00FE396A">
        <w:rPr>
          <w:rFonts w:cs="Arial"/>
          <w:b/>
          <w:szCs w:val="24"/>
          <w:u w:val="single"/>
        </w:rPr>
        <w:t>Dry or Closed-Loop A</w:t>
      </w:r>
      <w:r w:rsidRPr="00FE396A">
        <w:rPr>
          <w:rFonts w:cs="Arial"/>
          <w:b/>
          <w:szCs w:val="24"/>
          <w:u w:val="single"/>
        </w:rPr>
        <w:t>sh Handling Methods</w:t>
      </w:r>
    </w:p>
    <w:p w14:paraId="1A92219F" w14:textId="15A06451" w:rsidR="000D33E9" w:rsidRPr="00DB7156" w:rsidRDefault="0035063E" w:rsidP="007831C3">
      <w:r>
        <w:t xml:space="preserve">To prevent the discharge of </w:t>
      </w:r>
      <w:r w:rsidR="004A2079">
        <w:t>ash sluicing water, facilities can convert to dry handling or closed loop ash sluicing. Such a</w:t>
      </w:r>
      <w:r w:rsidR="000D33E9" w:rsidRPr="00DB7156">
        <w:t>sh handling systems</w:t>
      </w:r>
      <w:r w:rsidR="004A2079">
        <w:t xml:space="preserve"> include </w:t>
      </w:r>
      <w:r w:rsidR="000D33E9" w:rsidRPr="00DB7156">
        <w:t>pneumatic dry ash handling equipment</w:t>
      </w:r>
      <w:r w:rsidR="004A2079">
        <w:t xml:space="preserve"> (typically used for lighter fly ash) and</w:t>
      </w:r>
      <w:r w:rsidR="000D33E9" w:rsidRPr="00DB7156">
        <w:t xml:space="preserve"> remote submerged </w:t>
      </w:r>
      <w:r w:rsidR="004A2079">
        <w:t xml:space="preserve">drag </w:t>
      </w:r>
      <w:r w:rsidR="000D33E9" w:rsidRPr="00DB7156">
        <w:t>chain conveyors and ash coolers</w:t>
      </w:r>
      <w:r w:rsidR="004A2079">
        <w:t xml:space="preserve"> (typically used for bottom ash)</w:t>
      </w:r>
      <w:r w:rsidR="000D33E9" w:rsidRPr="00DB7156">
        <w:t>. These systems are utilized in conjunction with additional storage silos and collection systems to facilitate disposal or reuse options.</w:t>
      </w:r>
      <w:r w:rsidR="007C14B7">
        <w:t xml:space="preserve"> </w:t>
      </w:r>
    </w:p>
    <w:p w14:paraId="44F06221" w14:textId="6748787C" w:rsidR="000D33E9" w:rsidRPr="00FE396A" w:rsidRDefault="000D33E9" w:rsidP="00FE396A">
      <w:pPr>
        <w:tabs>
          <w:tab w:val="left" w:pos="540"/>
        </w:tabs>
        <w:spacing w:after="0" w:line="240" w:lineRule="auto"/>
        <w:rPr>
          <w:rFonts w:cs="Arial"/>
          <w:b/>
          <w:szCs w:val="24"/>
          <w:u w:val="single"/>
        </w:rPr>
      </w:pPr>
      <w:r w:rsidRPr="00FE396A">
        <w:rPr>
          <w:rFonts w:cs="Arial"/>
          <w:b/>
          <w:szCs w:val="24"/>
          <w:u w:val="single"/>
        </w:rPr>
        <w:t>XVI.</w:t>
      </w:r>
      <w:r w:rsidR="00646B0A" w:rsidRPr="00FE396A">
        <w:rPr>
          <w:rFonts w:cs="Arial"/>
          <w:b/>
          <w:szCs w:val="24"/>
          <w:u w:val="single"/>
        </w:rPr>
        <w:tab/>
      </w:r>
      <w:r w:rsidRPr="00FE396A">
        <w:rPr>
          <w:rFonts w:cs="Arial"/>
          <w:b/>
          <w:szCs w:val="24"/>
          <w:u w:val="single"/>
        </w:rPr>
        <w:t>Landfills</w:t>
      </w:r>
    </w:p>
    <w:p w14:paraId="4BED86E9" w14:textId="7F965A98" w:rsidR="000D33E9" w:rsidRPr="00DB7156" w:rsidRDefault="00B033EA" w:rsidP="007831C3">
      <w:r>
        <w:t xml:space="preserve">With ash ponds no longer in use, </w:t>
      </w:r>
      <w:r w:rsidR="004360C4">
        <w:t xml:space="preserve">use of </w:t>
      </w:r>
      <w:r w:rsidR="000D33E9" w:rsidRPr="00DB7156">
        <w:t>landfill</w:t>
      </w:r>
      <w:r w:rsidR="004360C4">
        <w:t>s</w:t>
      </w:r>
      <w:r w:rsidR="000D33E9" w:rsidRPr="00DB7156">
        <w:t xml:space="preserve"> is the alternative for long</w:t>
      </w:r>
      <w:r w:rsidR="000D33E9">
        <w:t>-</w:t>
      </w:r>
      <w:r w:rsidR="000D33E9" w:rsidRPr="00DB7156">
        <w:t xml:space="preserve">term ash </w:t>
      </w:r>
      <w:r w:rsidR="004360C4">
        <w:t xml:space="preserve">storage or </w:t>
      </w:r>
      <w:r w:rsidR="000D33E9" w:rsidRPr="00DB7156">
        <w:t xml:space="preserve">disposal. This technology </w:t>
      </w:r>
      <w:r w:rsidR="004360C4">
        <w:t xml:space="preserve">can be </w:t>
      </w:r>
      <w:r w:rsidR="000D33E9" w:rsidRPr="00DB7156">
        <w:t>implemented for ash and gypsum</w:t>
      </w:r>
      <w:r w:rsidR="004360C4">
        <w:t>, requiring</w:t>
      </w:r>
      <w:r w:rsidR="000D33E9" w:rsidRPr="00DB7156">
        <w:t xml:space="preserve"> regulatory permitting, hydrogeologic/geologic studies, and large amounts of available property.</w:t>
      </w:r>
      <w:r w:rsidR="007C14B7">
        <w:t xml:space="preserve"> </w:t>
      </w:r>
      <w:r w:rsidR="000D33E9" w:rsidRPr="00DB7156">
        <w:t>In addition, a leachate collection and pumping system would be installed to manage any landfill leachate collected</w:t>
      </w:r>
      <w:r w:rsidR="000D33E9">
        <w:t xml:space="preserve"> and groundwater monitoring</w:t>
      </w:r>
      <w:r w:rsidR="00064FA9">
        <w:t xml:space="preserve"> is required</w:t>
      </w:r>
      <w:r w:rsidR="000D33E9" w:rsidRPr="00DB7156">
        <w:t>.</w:t>
      </w:r>
    </w:p>
    <w:p w14:paraId="07F7B9F6" w14:textId="0E098110" w:rsidR="000D33E9" w:rsidRPr="00DB7156" w:rsidRDefault="000D33E9" w:rsidP="00FE396A">
      <w:pPr>
        <w:tabs>
          <w:tab w:val="left" w:pos="540"/>
        </w:tabs>
        <w:spacing w:after="0" w:line="240" w:lineRule="auto"/>
        <w:rPr>
          <w:rFonts w:cs="Arial"/>
          <w:b/>
          <w:bCs/>
          <w:color w:val="000080"/>
          <w:u w:val="single"/>
        </w:rPr>
      </w:pPr>
      <w:r w:rsidRPr="00FE396A">
        <w:rPr>
          <w:rFonts w:cs="Arial"/>
          <w:b/>
          <w:szCs w:val="24"/>
          <w:u w:val="single"/>
        </w:rPr>
        <w:t>XVII.</w:t>
      </w:r>
      <w:r w:rsidRPr="00FE396A">
        <w:rPr>
          <w:rFonts w:cs="Arial"/>
          <w:b/>
          <w:szCs w:val="24"/>
          <w:u w:val="single"/>
        </w:rPr>
        <w:tab/>
        <w:t>Wastewater Treatment</w:t>
      </w:r>
    </w:p>
    <w:p w14:paraId="2133B830" w14:textId="12F13349" w:rsidR="008C6DA2" w:rsidRDefault="008C6DA2" w:rsidP="007831C3">
      <w:r>
        <w:t xml:space="preserve">Wastewater treatment systems </w:t>
      </w:r>
      <w:r w:rsidR="00F43A0E">
        <w:t xml:space="preserve">remove or </w:t>
      </w:r>
      <w:r>
        <w:t xml:space="preserve">reduce certain constituents in wastewater prior to discharge. </w:t>
      </w:r>
      <w:r w:rsidR="00F23109">
        <w:t>W</w:t>
      </w:r>
      <w:r w:rsidR="00967371">
        <w:t xml:space="preserve">astewater treatment needs are highly site- and waste stream-specific and </w:t>
      </w:r>
      <w:r w:rsidR="00F23109">
        <w:t xml:space="preserve">can include various </w:t>
      </w:r>
      <w:r w:rsidR="00C54ACC">
        <w:t xml:space="preserve">systems or equipment, such as </w:t>
      </w:r>
      <w:r w:rsidR="00F43A0E" w:rsidRPr="00DB7156">
        <w:rPr>
          <w:szCs w:val="24"/>
        </w:rPr>
        <w:t>settling basins, tanks, clarifiers, pH adjustment, and associated pumps, piping and equipment</w:t>
      </w:r>
      <w:r w:rsidR="00F23109">
        <w:rPr>
          <w:szCs w:val="24"/>
        </w:rPr>
        <w:t>,</w:t>
      </w:r>
      <w:r w:rsidR="00C54ACC">
        <w:rPr>
          <w:szCs w:val="24"/>
        </w:rPr>
        <w:t xml:space="preserve"> to meet site-specific needs.</w:t>
      </w:r>
    </w:p>
    <w:p w14:paraId="3D3D42AD" w14:textId="1C87CF98" w:rsidR="00982A81" w:rsidRPr="00982A81" w:rsidRDefault="00982A81" w:rsidP="007831C3">
      <w:r w:rsidRPr="00982A81">
        <w:lastRenderedPageBreak/>
        <w:t>Physical-chemical treatment systems are used to reduce solids and certain metals within a waste stream. These systems may include lined settling basins, tanks, clarifiers, pH adjustment, and associated pumps, piping and equipment. These systems are widely used across industries.</w:t>
      </w:r>
    </w:p>
    <w:p w14:paraId="464313CF" w14:textId="13E25288" w:rsidR="00982A81" w:rsidRPr="00982A81" w:rsidRDefault="00982A81" w:rsidP="007831C3">
      <w:r w:rsidRPr="00982A81">
        <w:t xml:space="preserve">Phys-chem-bio treatment includes the same </w:t>
      </w:r>
      <w:r w:rsidR="00256941">
        <w:t>components as a physical-chemical system w</w:t>
      </w:r>
      <w:r w:rsidRPr="00982A81">
        <w:t xml:space="preserve">ith the addition of a biological treatment system to remove selenium </w:t>
      </w:r>
      <w:r w:rsidR="00807BFE">
        <w:t xml:space="preserve">and nitrate </w:t>
      </w:r>
      <w:r w:rsidRPr="00982A81">
        <w:t>from the waste stream.</w:t>
      </w:r>
      <w:r w:rsidR="007C14B7">
        <w:t xml:space="preserve"> </w:t>
      </w:r>
      <w:r w:rsidRPr="00982A81">
        <w:t xml:space="preserve">This system can be used for the </w:t>
      </w:r>
      <w:r w:rsidR="00256941">
        <w:t>scrubber</w:t>
      </w:r>
      <w:r w:rsidRPr="00982A81">
        <w:t xml:space="preserve"> wastewater. These systems are newer technologies that continue to be tested and researched.</w:t>
      </w:r>
    </w:p>
    <w:p w14:paraId="70A94F9F" w14:textId="3BDB5735" w:rsidR="008D7C6E" w:rsidRDefault="00807BFE" w:rsidP="007831C3">
      <w:pPr>
        <w:rPr>
          <w:rFonts w:eastAsia="Arial"/>
        </w:rPr>
      </w:pPr>
      <w:r>
        <w:t>For m</w:t>
      </w:r>
      <w:r w:rsidR="00982A81" w:rsidRPr="00982A81">
        <w:t>embrane-based treatment</w:t>
      </w:r>
      <w:r>
        <w:t>,</w:t>
      </w:r>
      <w:r w:rsidR="00982A81" w:rsidRPr="00982A81">
        <w:t xml:space="preserve"> </w:t>
      </w:r>
      <w:r w:rsidR="00256941">
        <w:t>scrubber</w:t>
      </w:r>
      <w:r w:rsidR="00982A81" w:rsidRPr="00982A81">
        <w:t xml:space="preserve"> return water use is </w:t>
      </w:r>
      <w:proofErr w:type="gramStart"/>
      <w:r w:rsidR="00982A81" w:rsidRPr="00982A81">
        <w:t>maximized</w:t>
      </w:r>
      <w:proofErr w:type="gramEnd"/>
      <w:r w:rsidR="00982A81" w:rsidRPr="00982A81">
        <w:t xml:space="preserve"> and </w:t>
      </w:r>
      <w:r w:rsidR="00256941">
        <w:t>scrubber</w:t>
      </w:r>
      <w:r w:rsidR="00982A81" w:rsidRPr="00982A81">
        <w:t xml:space="preserve"> wastewater discharge is minimized. The chloride purge stream is processed through an advanced membrane process to produce a clean permeate stream and a small brine concentrate stream. The concentrate is managed either through third party disposal, ash conditioning and landfill on-site or off-site, or paste processing and landfill on-site.</w:t>
      </w:r>
      <w:r w:rsidR="001D5F40">
        <w:t xml:space="preserve"> </w:t>
      </w:r>
      <w:r w:rsidR="00FD668F" w:rsidRPr="00FD668F">
        <w:rPr>
          <w:rFonts w:eastAsia="Arial"/>
        </w:rPr>
        <w:t xml:space="preserve">The permeate </w:t>
      </w:r>
      <w:r w:rsidR="00B30425">
        <w:rPr>
          <w:rFonts w:eastAsia="Arial"/>
        </w:rPr>
        <w:t>may</w:t>
      </w:r>
      <w:r w:rsidR="00FD668F" w:rsidRPr="00FD668F">
        <w:rPr>
          <w:rFonts w:eastAsia="Arial"/>
        </w:rPr>
        <w:t xml:space="preserve"> be discharged or </w:t>
      </w:r>
      <w:r w:rsidR="00586A1C">
        <w:rPr>
          <w:rFonts w:eastAsia="Arial"/>
        </w:rPr>
        <w:t>may be</w:t>
      </w:r>
      <w:r w:rsidR="00FD668F" w:rsidRPr="00FD668F">
        <w:rPr>
          <w:rFonts w:eastAsia="Arial"/>
        </w:rPr>
        <w:t xml:space="preserve"> managed through recycling back to the scrubber / boiler make-up</w:t>
      </w:r>
      <w:r w:rsidR="00586A1C">
        <w:rPr>
          <w:rFonts w:eastAsia="Arial"/>
        </w:rPr>
        <w:t xml:space="preserve"> if the unit is operational at the time</w:t>
      </w:r>
      <w:r w:rsidR="00FD668F" w:rsidRPr="00FD668F">
        <w:rPr>
          <w:rFonts w:eastAsia="Arial"/>
        </w:rPr>
        <w:t>.</w:t>
      </w:r>
    </w:p>
    <w:p w14:paraId="3BFFC79F" w14:textId="43D43FF8" w:rsidR="0011591D" w:rsidRPr="00FE396A" w:rsidRDefault="008241E2" w:rsidP="00FE396A">
      <w:pPr>
        <w:tabs>
          <w:tab w:val="left" w:pos="540"/>
        </w:tabs>
        <w:spacing w:after="0" w:line="240" w:lineRule="auto"/>
        <w:rPr>
          <w:rFonts w:cs="Arial"/>
          <w:b/>
          <w:szCs w:val="24"/>
          <w:u w:val="single"/>
        </w:rPr>
      </w:pPr>
      <w:r w:rsidRPr="00FE396A">
        <w:rPr>
          <w:rFonts w:cs="Arial"/>
          <w:b/>
          <w:szCs w:val="24"/>
          <w:u w:val="single"/>
        </w:rPr>
        <w:t>X</w:t>
      </w:r>
      <w:r w:rsidR="00F64EA5" w:rsidRPr="00FE396A">
        <w:rPr>
          <w:rFonts w:cs="Arial"/>
          <w:b/>
          <w:szCs w:val="24"/>
          <w:u w:val="single"/>
        </w:rPr>
        <w:t>VIII.</w:t>
      </w:r>
      <w:r w:rsidR="00F64EA5" w:rsidRPr="00FE396A">
        <w:rPr>
          <w:rFonts w:cs="Arial"/>
          <w:b/>
          <w:szCs w:val="24"/>
          <w:u w:val="single"/>
        </w:rPr>
        <w:tab/>
      </w:r>
      <w:r w:rsidR="00AC038D" w:rsidRPr="00FE396A">
        <w:rPr>
          <w:rFonts w:cs="Arial"/>
          <w:b/>
          <w:szCs w:val="24"/>
          <w:u w:val="single"/>
        </w:rPr>
        <w:t xml:space="preserve">Zero Liquid </w:t>
      </w:r>
      <w:r w:rsidR="59B6871B" w:rsidRPr="00FE396A">
        <w:rPr>
          <w:rFonts w:cs="Arial"/>
          <w:b/>
          <w:szCs w:val="24"/>
          <w:u w:val="single"/>
        </w:rPr>
        <w:t>Discharge</w:t>
      </w:r>
      <w:r w:rsidR="00AC038D" w:rsidRPr="00FE396A">
        <w:rPr>
          <w:rFonts w:cs="Arial"/>
          <w:b/>
          <w:szCs w:val="24"/>
          <w:u w:val="single"/>
        </w:rPr>
        <w:t xml:space="preserve"> Technologies </w:t>
      </w:r>
      <w:r w:rsidR="0011591D" w:rsidRPr="00FE396A">
        <w:rPr>
          <w:rFonts w:cs="Arial"/>
          <w:b/>
          <w:szCs w:val="24"/>
          <w:u w:val="single"/>
        </w:rPr>
        <w:t xml:space="preserve"> </w:t>
      </w:r>
    </w:p>
    <w:p w14:paraId="5E99FD3F" w14:textId="6DCCB725" w:rsidR="0011591D" w:rsidRPr="001F2D71" w:rsidRDefault="00B75CCD" w:rsidP="007831C3">
      <w:r>
        <w:t>A common</w:t>
      </w:r>
      <w:r w:rsidR="00FD7AA2">
        <w:t xml:space="preserve"> system</w:t>
      </w:r>
      <w:r>
        <w:t xml:space="preserve"> to eliminate liquid discharge is </w:t>
      </w:r>
      <w:r w:rsidR="0011591D" w:rsidRPr="001F2D71">
        <w:t>us</w:t>
      </w:r>
      <w:r w:rsidR="004E47D6">
        <w:t>ing</w:t>
      </w:r>
      <w:r w:rsidR="0011591D" w:rsidRPr="001F2D71">
        <w:t xml:space="preserve"> heat to evaporate water and concentrate solids and other contaminants. Some</w:t>
      </w:r>
      <w:r w:rsidR="0011591D">
        <w:t xml:space="preserve"> </w:t>
      </w:r>
      <w:r w:rsidR="0011591D" w:rsidRPr="001F2D71">
        <w:t>of these systems can be operated to achieve full evaporation of liquid, resulting in only a solid product</w:t>
      </w:r>
      <w:r w:rsidR="0011591D">
        <w:t xml:space="preserve"> (crystallization)</w:t>
      </w:r>
      <w:r w:rsidR="0011591D" w:rsidRPr="001F2D71">
        <w:t>,</w:t>
      </w:r>
      <w:r w:rsidR="0011591D">
        <w:t xml:space="preserve"> </w:t>
      </w:r>
      <w:r w:rsidR="0011591D" w:rsidRPr="001F2D71">
        <w:t xml:space="preserve">or achieve partial evaporation of liquid. </w:t>
      </w:r>
      <w:r w:rsidR="00FD7AA2" w:rsidRPr="001F2D71">
        <w:t>Thermal technologies</w:t>
      </w:r>
      <w:r w:rsidR="00FD7AA2">
        <w:t xml:space="preserve"> can be used as </w:t>
      </w:r>
      <w:r w:rsidR="004E47D6">
        <w:t>standalone</w:t>
      </w:r>
      <w:r w:rsidR="00FD7AA2">
        <w:t xml:space="preserve"> systems, or in </w:t>
      </w:r>
      <w:r w:rsidR="00E32F48">
        <w:t>series</w:t>
      </w:r>
      <w:r w:rsidR="00FD7AA2">
        <w:t xml:space="preserve"> with membranes to</w:t>
      </w:r>
      <w:r w:rsidR="00E32F48">
        <w:t xml:space="preserve"> first</w:t>
      </w:r>
      <w:r w:rsidR="00FD7AA2">
        <w:t xml:space="preserve"> reduce the volume of water needed for thermal treatment. </w:t>
      </w:r>
      <w:r w:rsidR="001E60B2">
        <w:t xml:space="preserve">These evaporative processes can be applied to achieve </w:t>
      </w:r>
      <w:r w:rsidR="00E32F48">
        <w:t>z</w:t>
      </w:r>
      <w:r w:rsidR="00E521CE">
        <w:t xml:space="preserve">ero liquid </w:t>
      </w:r>
      <w:r w:rsidR="00E32F48">
        <w:t>d</w:t>
      </w:r>
      <w:r w:rsidR="00E521CE">
        <w:t>isc</w:t>
      </w:r>
      <w:r w:rsidR="006B00D4">
        <w:t>ha</w:t>
      </w:r>
      <w:r w:rsidR="00E521CE">
        <w:t>rge (ZLD).</w:t>
      </w:r>
    </w:p>
    <w:p w14:paraId="54953599" w14:textId="5624ED04" w:rsidR="0011591D" w:rsidRDefault="00E521CE" w:rsidP="0011591D">
      <w:r>
        <w:t>ZLD can also be achieved with liquid encaps</w:t>
      </w:r>
      <w:r w:rsidR="006B00D4">
        <w:t>ulation</w:t>
      </w:r>
      <w:r>
        <w:t xml:space="preserve">. </w:t>
      </w:r>
      <w:r w:rsidR="0011591D">
        <w:t xml:space="preserve">Encapsulation is a </w:t>
      </w:r>
      <w:r w:rsidR="006B00D4">
        <w:t>process</w:t>
      </w:r>
      <w:r w:rsidR="0011591D">
        <w:t xml:space="preserve"> that can be used to eliminate </w:t>
      </w:r>
      <w:r w:rsidR="00E32F48">
        <w:t>scrubber</w:t>
      </w:r>
      <w:r w:rsidR="0011591D">
        <w:t xml:space="preserve"> wastewater discharge. It uses chemical reactions and/or absorption processes to bond materials together so that wastewater is incorporated into the solid material. This process is also referred to as solidification.</w:t>
      </w:r>
      <w:r w:rsidR="00AC038D">
        <w:t xml:space="preserve"> The solids are then landfilled.</w:t>
      </w:r>
    </w:p>
    <w:p w14:paraId="3DF33824" w14:textId="6CD31DFF" w:rsidR="00AA63C8" w:rsidRDefault="00012A0D" w:rsidP="0011591D">
      <w:r>
        <w:t>Deep well</w:t>
      </w:r>
      <w:r w:rsidR="0021251A">
        <w:t xml:space="preserve"> </w:t>
      </w:r>
      <w:r w:rsidR="00AB7E60">
        <w:t>injection</w:t>
      </w:r>
      <w:r w:rsidR="0021251A">
        <w:t xml:space="preserve"> </w:t>
      </w:r>
      <w:r w:rsidR="00063F4A">
        <w:t xml:space="preserve">of </w:t>
      </w:r>
      <w:r w:rsidR="003E5D24">
        <w:t>water is</w:t>
      </w:r>
      <w:r w:rsidR="00AB7E60">
        <w:t xml:space="preserve"> another process that </w:t>
      </w:r>
      <w:r w:rsidR="00743BE9">
        <w:t>meets the definition of</w:t>
      </w:r>
      <w:r w:rsidR="00A25480">
        <w:t xml:space="preserve"> ZLD</w:t>
      </w:r>
      <w:r w:rsidR="00B616D9">
        <w:t xml:space="preserve"> as </w:t>
      </w:r>
      <w:r w:rsidR="0051172F">
        <w:t xml:space="preserve">prescribed by the </w:t>
      </w:r>
      <w:r w:rsidR="00453265">
        <w:t xml:space="preserve">Supplemental </w:t>
      </w:r>
      <w:r w:rsidR="0051172F">
        <w:t>ELG rule</w:t>
      </w:r>
      <w:r w:rsidR="000B7A9C">
        <w:t xml:space="preserve">, and as </w:t>
      </w:r>
      <w:r w:rsidR="001519FC">
        <w:t xml:space="preserve">authorized </w:t>
      </w:r>
      <w:r w:rsidR="00C95BC4">
        <w:t>through an Underground Injection Control (UIC) permitting program.</w:t>
      </w:r>
    </w:p>
    <w:p w14:paraId="4EA60FE1" w14:textId="77777777" w:rsidR="00E96EF3" w:rsidRDefault="00E96EF3" w:rsidP="001072CB">
      <w:pPr>
        <w:rPr>
          <w:rFonts w:cs="Arial"/>
          <w:b/>
          <w:color w:val="000080"/>
          <w:szCs w:val="24"/>
        </w:rPr>
      </w:pPr>
      <w:bookmarkStart w:id="99" w:name="_Toc496107769"/>
      <w:bookmarkStart w:id="100" w:name="_Toc527987362"/>
      <w:bookmarkStart w:id="101" w:name="_Toc527983909"/>
      <w:bookmarkStart w:id="102" w:name="_Toc530487296"/>
      <w:bookmarkStart w:id="103" w:name="_Toc535908106"/>
      <w:bookmarkStart w:id="104" w:name="_Toc94197924"/>
      <w:r>
        <w:rPr>
          <w:rFonts w:cs="Arial"/>
          <w:b/>
          <w:color w:val="000080"/>
          <w:szCs w:val="24"/>
        </w:rPr>
        <w:br w:type="page"/>
      </w:r>
    </w:p>
    <w:p w14:paraId="3FECEC04" w14:textId="4144D8CD" w:rsidR="00B75586" w:rsidRPr="002739B0" w:rsidRDefault="00B75586" w:rsidP="00FE396A">
      <w:pPr>
        <w:pStyle w:val="Heading1"/>
      </w:pPr>
      <w:bookmarkStart w:id="105" w:name="_Toc188252334"/>
      <w:r w:rsidRPr="00FE396A">
        <w:lastRenderedPageBreak/>
        <w:t xml:space="preserve">ECS - Appendix </w:t>
      </w:r>
      <w:r w:rsidR="00822E25" w:rsidRPr="00822E25">
        <w:t>E</w:t>
      </w:r>
      <w:r w:rsidRPr="002739B0">
        <w:t xml:space="preserve"> – High</w:t>
      </w:r>
      <w:r w:rsidR="00361ABD" w:rsidRPr="002739B0">
        <w:t>-</w:t>
      </w:r>
      <w:r w:rsidRPr="002739B0">
        <w:t>Level and Low</w:t>
      </w:r>
      <w:r w:rsidR="00361ABD" w:rsidRPr="002739B0">
        <w:t>-</w:t>
      </w:r>
      <w:r w:rsidRPr="002739B0">
        <w:t>Level Radioactive Waste Storage</w:t>
      </w:r>
      <w:bookmarkEnd w:id="105"/>
      <w:r w:rsidRPr="002739B0">
        <w:t xml:space="preserve"> </w:t>
      </w:r>
    </w:p>
    <w:bookmarkEnd w:id="99"/>
    <w:bookmarkEnd w:id="100"/>
    <w:bookmarkEnd w:id="101"/>
    <w:bookmarkEnd w:id="102"/>
    <w:bookmarkEnd w:id="103"/>
    <w:bookmarkEnd w:id="104"/>
    <w:p w14:paraId="3384E48D" w14:textId="77777777" w:rsidR="00F10BDD" w:rsidRPr="00DB7156" w:rsidRDefault="00F10BDD" w:rsidP="00FE396A">
      <w:pPr>
        <w:pStyle w:val="Heading3noTOC"/>
        <w:rPr>
          <w:rFonts w:cs="Arial"/>
          <w:b/>
          <w:color w:val="000080"/>
          <w:szCs w:val="24"/>
          <w:u w:val="single"/>
        </w:rPr>
      </w:pPr>
      <w:r w:rsidRPr="00DB7156">
        <w:rPr>
          <w:color w:val="000080"/>
        </w:rPr>
        <w:t xml:space="preserve">PLANTS HATCH AND VOGTLE </w:t>
      </w:r>
    </w:p>
    <w:p w14:paraId="2BB67D1C" w14:textId="77777777" w:rsidR="00F10BDD" w:rsidRPr="00DB7156" w:rsidRDefault="00F10BDD" w:rsidP="007831C3">
      <w:pPr>
        <w:rPr>
          <w:sz w:val="32"/>
          <w:szCs w:val="32"/>
        </w:rPr>
      </w:pPr>
      <w:r>
        <w:t>Georgia Power’s affiliate</w:t>
      </w:r>
      <w:r w:rsidRPr="00DB7156">
        <w:t>, Southern Nuclear Operating Company (</w:t>
      </w:r>
      <w:r>
        <w:t>“</w:t>
      </w:r>
      <w:r w:rsidRPr="00DB7156">
        <w:t>Southern Nuclear</w:t>
      </w:r>
      <w:r>
        <w:t>”</w:t>
      </w:r>
      <w:r w:rsidRPr="00DB7156">
        <w:t>) safely operates and maintains Plants Hatch and Vogtle in accordance with industry standards and regulatory requirements. Southern Nuclear is dedicated to maintaining the highest standards for safely handling radioactive waste to protect the public, the environment, and its workers.</w:t>
      </w:r>
    </w:p>
    <w:p w14:paraId="4478A9B7" w14:textId="77777777" w:rsidR="00F10BDD" w:rsidRPr="00FE396A" w:rsidRDefault="00F10BDD" w:rsidP="002D3EF7">
      <w:pPr>
        <w:spacing w:after="0" w:line="240" w:lineRule="auto"/>
        <w:rPr>
          <w:rFonts w:cs="Arial"/>
          <w:b/>
          <w:color w:val="1F3864" w:themeColor="accent1" w:themeShade="80"/>
          <w:szCs w:val="24"/>
          <w:u w:val="single"/>
        </w:rPr>
      </w:pPr>
      <w:r w:rsidRPr="00FE396A">
        <w:rPr>
          <w:rFonts w:cs="Arial"/>
          <w:b/>
          <w:color w:val="1F3864" w:themeColor="accent1" w:themeShade="80"/>
          <w:szCs w:val="24"/>
          <w:u w:val="single"/>
        </w:rPr>
        <w:t xml:space="preserve">High-Level Radioactive Waste (“HLRW” - spent fuel) </w:t>
      </w:r>
    </w:p>
    <w:p w14:paraId="6413A5A0" w14:textId="77777777" w:rsidR="00F10BDD" w:rsidRPr="00FE396A" w:rsidRDefault="00F10BDD" w:rsidP="002D3EF7">
      <w:pPr>
        <w:spacing w:after="0" w:line="240" w:lineRule="auto"/>
        <w:rPr>
          <w:rFonts w:cs="Arial"/>
          <w:b/>
          <w:szCs w:val="24"/>
        </w:rPr>
      </w:pPr>
      <w:r w:rsidRPr="00FE396A">
        <w:rPr>
          <w:rFonts w:cs="Arial"/>
          <w:b/>
          <w:szCs w:val="24"/>
        </w:rPr>
        <w:t>Dry Cask Storage:</w:t>
      </w:r>
    </w:p>
    <w:p w14:paraId="60C5C44A" w14:textId="77777777" w:rsidR="00F10BDD" w:rsidRPr="00DB7156" w:rsidRDefault="00F10BDD" w:rsidP="007831C3">
      <w:r w:rsidRPr="1ACC5B7C">
        <w:rPr>
          <w:color w:val="000000" w:themeColor="text1"/>
        </w:rPr>
        <w:t>Plant Hatch and Plant Vogtle</w:t>
      </w:r>
      <w:r w:rsidRPr="1ACC5B7C">
        <w:t xml:space="preserve"> currently store spent fuel in underwater spent fuel pools and some above ground in dry casks on concrete pads known as Independent Spent Fuel Storage Installations until such time that the federal government licenses and builds a permanent disposal facility capable of accepting this waste.</w:t>
      </w:r>
    </w:p>
    <w:p w14:paraId="3A55D4CB" w14:textId="77777777" w:rsidR="00F10BDD" w:rsidRPr="00DB7156" w:rsidRDefault="00F10BDD" w:rsidP="007831C3">
      <w:r w:rsidRPr="1ACC5B7C">
        <w:t xml:space="preserve">These above ground dry casks are engineered to assist in cooling the spent fuel bundles while providing adequate shielding for the protection of plant employees as well as the surrounding community and environment. </w:t>
      </w:r>
    </w:p>
    <w:p w14:paraId="3C625784" w14:textId="77777777" w:rsidR="00F10BDD" w:rsidRPr="00FE396A" w:rsidRDefault="00F10BDD" w:rsidP="002D3EF7">
      <w:pPr>
        <w:spacing w:after="0" w:line="240" w:lineRule="auto"/>
        <w:rPr>
          <w:rFonts w:cs="Arial"/>
          <w:b/>
          <w:color w:val="1F3864" w:themeColor="accent1" w:themeShade="80"/>
          <w:szCs w:val="24"/>
          <w:u w:val="single"/>
        </w:rPr>
      </w:pPr>
      <w:r w:rsidRPr="00FE396A">
        <w:rPr>
          <w:rFonts w:cs="Arial"/>
          <w:b/>
          <w:color w:val="1F3864" w:themeColor="accent1" w:themeShade="80"/>
          <w:szCs w:val="24"/>
          <w:u w:val="single"/>
        </w:rPr>
        <w:t>Low-Level Radioactive Waste (“LLRW” - trash, tools, scrap, filtering media, irradiated hardware, etc.)</w:t>
      </w:r>
    </w:p>
    <w:p w14:paraId="244A2DCE" w14:textId="647A04BE" w:rsidR="00B27B58" w:rsidRPr="00B27B58" w:rsidRDefault="00B27B58" w:rsidP="007831C3">
      <w:proofErr w:type="gramStart"/>
      <w:r w:rsidRPr="00B27B58">
        <w:t>Similar to</w:t>
      </w:r>
      <w:proofErr w:type="gramEnd"/>
      <w:r w:rsidRPr="00B27B58">
        <w:t xml:space="preserve"> others in the nuclear power industry in the United States, over 95</w:t>
      </w:r>
      <w:r w:rsidR="00E55AD6">
        <w:t>%</w:t>
      </w:r>
      <w:r w:rsidRPr="00B27B58">
        <w:t xml:space="preserve"> of the LLRW generated by Plant Hatch and Plant Vogtle is sent for processing at Energy Solutions before it is disposed at either Energy Solutions burial site in Clive, Utah or Waste Control Specialist burial site in Andrew County, Texas. Plant Hatch and Plant Vogtle may store limited amounts of this waste on the site where it was generated inside concrete shields on a concrete pad until it meets NRC/</w:t>
      </w:r>
      <w:r w:rsidR="004546E8">
        <w:t xml:space="preserve">U.S. </w:t>
      </w:r>
      <w:r w:rsidRPr="00B27B58">
        <w:t>D</w:t>
      </w:r>
      <w:r w:rsidR="004546E8">
        <w:t xml:space="preserve">epartment of </w:t>
      </w:r>
      <w:r w:rsidRPr="00B27B58">
        <w:t>T</w:t>
      </w:r>
      <w:r w:rsidR="004546E8">
        <w:t>ransportation</w:t>
      </w:r>
      <w:r w:rsidRPr="00B27B58">
        <w:t xml:space="preserve"> requirements for transportation and disposal.</w:t>
      </w:r>
    </w:p>
    <w:p w14:paraId="7788F385" w14:textId="5BF33452" w:rsidR="009747D4" w:rsidRPr="009747D4" w:rsidRDefault="009747D4" w:rsidP="002D3EF7">
      <w:pPr>
        <w:tabs>
          <w:tab w:val="left" w:pos="8347"/>
        </w:tabs>
      </w:pPr>
      <w:r>
        <w:tab/>
      </w:r>
    </w:p>
    <w:sectPr w:rsidR="009747D4" w:rsidRPr="009747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959A3" w14:textId="77777777" w:rsidR="00921C39" w:rsidRDefault="00921C39" w:rsidP="00BE3E3C">
      <w:pPr>
        <w:spacing w:after="0" w:line="240" w:lineRule="auto"/>
      </w:pPr>
      <w:r>
        <w:separator/>
      </w:r>
    </w:p>
  </w:endnote>
  <w:endnote w:type="continuationSeparator" w:id="0">
    <w:p w14:paraId="7040DC21" w14:textId="77777777" w:rsidR="00921C39" w:rsidRDefault="00921C39" w:rsidP="00BE3E3C">
      <w:pPr>
        <w:spacing w:after="0" w:line="240" w:lineRule="auto"/>
      </w:pPr>
      <w:r>
        <w:continuationSeparator/>
      </w:r>
    </w:p>
  </w:endnote>
  <w:endnote w:type="continuationNotice" w:id="1">
    <w:p w14:paraId="440EAD46" w14:textId="77777777" w:rsidR="00921C39" w:rsidRDefault="00921C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C1646" w14:textId="2E825B4F" w:rsidR="00287ADF" w:rsidRDefault="00287ADF">
    <w:pPr>
      <w:pStyle w:val="Footer"/>
      <w:jc w:val="right"/>
    </w:pPr>
  </w:p>
  <w:p w14:paraId="3D2F3A72" w14:textId="77777777" w:rsidR="00287ADF" w:rsidRDefault="00287A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B914" w14:textId="77777777" w:rsidR="004A5D93" w:rsidRDefault="004A5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D3FF6" w14:textId="20AB5CDE" w:rsidR="007A4D7E" w:rsidRDefault="00871CBB">
    <w:pPr>
      <w:pStyle w:val="Footer"/>
      <w:jc w:val="right"/>
    </w:pPr>
    <w:r>
      <w:fldChar w:fldCharType="begin"/>
    </w:r>
    <w:r>
      <w:instrText xml:space="preserve"> PAGE   \* MERGEFORMAT </w:instrText>
    </w:r>
    <w:r>
      <w:fldChar w:fldCharType="separate"/>
    </w:r>
    <w:r>
      <w:rPr>
        <w:noProof/>
      </w:rPr>
      <w:t>1</w:t>
    </w:r>
    <w:r>
      <w:rPr>
        <w:noProof/>
      </w:rPr>
      <w:fldChar w:fldCharType="end"/>
    </w:r>
  </w:p>
  <w:p w14:paraId="02ED7D42" w14:textId="77777777" w:rsidR="002D0CED" w:rsidRDefault="002D0C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E0A94" w14:textId="77777777" w:rsidR="004A5D93" w:rsidRDefault="004A5D9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F811" w14:textId="5E7B6DDB" w:rsidR="007A4D7E" w:rsidRDefault="00CA63D6">
    <w:pPr>
      <w:pStyle w:val="Footer"/>
      <w:jc w:val="right"/>
    </w:pPr>
    <w:sdt>
      <w:sdtPr>
        <w:id w:val="1077862499"/>
        <w:docPartObj>
          <w:docPartGallery w:val="Page Numbers (Bottom of Page)"/>
          <w:docPartUnique/>
        </w:docPartObj>
      </w:sdtPr>
      <w:sdtEndPr>
        <w:rPr>
          <w:noProof/>
        </w:rPr>
      </w:sdtEndPr>
      <w:sdtContent>
        <w:r w:rsidR="007A4D7E">
          <w:fldChar w:fldCharType="begin"/>
        </w:r>
        <w:r w:rsidR="007A4D7E">
          <w:instrText xml:space="preserve"> PAGE   \* MERGEFORMAT </w:instrText>
        </w:r>
        <w:r w:rsidR="007A4D7E">
          <w:fldChar w:fldCharType="separate"/>
        </w:r>
        <w:r w:rsidR="007A4D7E">
          <w:rPr>
            <w:noProof/>
          </w:rPr>
          <w:t>2</w:t>
        </w:r>
        <w:r w:rsidR="007A4D7E">
          <w:rPr>
            <w:noProof/>
          </w:rPr>
          <w:fldChar w:fldCharType="end"/>
        </w:r>
      </w:sdtContent>
    </w:sdt>
  </w:p>
  <w:p w14:paraId="1E2F8609" w14:textId="77777777" w:rsidR="007A4D7E" w:rsidRDefault="007A4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40778" w14:textId="77777777" w:rsidR="00921C39" w:rsidRDefault="00921C39" w:rsidP="00BE3E3C">
      <w:pPr>
        <w:spacing w:after="0" w:line="240" w:lineRule="auto"/>
      </w:pPr>
      <w:r>
        <w:separator/>
      </w:r>
    </w:p>
  </w:footnote>
  <w:footnote w:type="continuationSeparator" w:id="0">
    <w:p w14:paraId="31885B72" w14:textId="77777777" w:rsidR="00921C39" w:rsidRDefault="00921C39" w:rsidP="00BE3E3C">
      <w:pPr>
        <w:spacing w:after="0" w:line="240" w:lineRule="auto"/>
      </w:pPr>
      <w:r>
        <w:continuationSeparator/>
      </w:r>
    </w:p>
  </w:footnote>
  <w:footnote w:type="continuationNotice" w:id="1">
    <w:p w14:paraId="59BA8047" w14:textId="77777777" w:rsidR="00921C39" w:rsidRDefault="00921C39">
      <w:pPr>
        <w:spacing w:after="0" w:line="240" w:lineRule="auto"/>
      </w:pPr>
    </w:p>
  </w:footnote>
  <w:footnote w:id="2">
    <w:p w14:paraId="69CA7265" w14:textId="7CB4CAC9" w:rsidR="00E505ED" w:rsidRPr="00CC49A3" w:rsidRDefault="00E505ED" w:rsidP="00CC49A3">
      <w:pPr>
        <w:pStyle w:val="FootnoteText"/>
        <w:jc w:val="left"/>
        <w:rPr>
          <w:rFonts w:asciiTheme="minorHAnsi" w:hAnsiTheme="minorHAnsi"/>
        </w:rPr>
      </w:pPr>
      <w:r w:rsidRPr="00115886">
        <w:rPr>
          <w:rStyle w:val="FootnoteReference"/>
          <w:rFonts w:asciiTheme="minorHAnsi" w:hAnsiTheme="minorHAnsi"/>
        </w:rPr>
        <w:footnoteRef/>
      </w:r>
      <w:r w:rsidRPr="00115886">
        <w:rPr>
          <w:rFonts w:asciiTheme="minorHAnsi" w:hAnsiTheme="minorHAnsi"/>
        </w:rPr>
        <w:t xml:space="preserve"> </w:t>
      </w:r>
      <w:r w:rsidR="00115886" w:rsidRPr="00115886">
        <w:rPr>
          <w:i/>
          <w:iCs/>
        </w:rPr>
        <w:t>W. Virginia v. EPA</w:t>
      </w:r>
      <w:r w:rsidR="00115886" w:rsidRPr="00115886">
        <w:t>, No. 24A105, 2024 WL 4501235, at *1 (U.S. Oct. 16, 2024)</w:t>
      </w:r>
    </w:p>
  </w:footnote>
  <w:footnote w:id="3">
    <w:p w14:paraId="271CC361" w14:textId="55925A6B" w:rsidR="00EA4933" w:rsidRPr="00CC49A3" w:rsidRDefault="00EA4933" w:rsidP="00CC49A3">
      <w:pPr>
        <w:pStyle w:val="FootnoteText"/>
        <w:jc w:val="left"/>
        <w:rPr>
          <w:rFonts w:asciiTheme="minorHAnsi" w:hAnsiTheme="minorHAnsi" w:cstheme="minorHAnsi"/>
        </w:rPr>
      </w:pPr>
      <w:r w:rsidRPr="00CC49A3">
        <w:rPr>
          <w:rStyle w:val="FootnoteReference"/>
          <w:rFonts w:asciiTheme="minorHAnsi" w:hAnsiTheme="minorHAnsi" w:cstheme="minorHAnsi"/>
        </w:rPr>
        <w:footnoteRef/>
      </w:r>
      <w:r w:rsidRPr="00CC49A3">
        <w:rPr>
          <w:rFonts w:asciiTheme="minorHAnsi" w:hAnsiTheme="minorHAnsi" w:cstheme="minorHAnsi"/>
        </w:rPr>
        <w:t xml:space="preserve"> </w:t>
      </w:r>
      <w:r w:rsidR="00C33FFF" w:rsidRPr="00CC49A3">
        <w:rPr>
          <w:rFonts w:asciiTheme="minorHAnsi" w:hAnsiTheme="minorHAnsi" w:cstheme="minorHAnsi"/>
        </w:rPr>
        <w:t xml:space="preserve">The 111 GHG Rules allow </w:t>
      </w:r>
      <w:r w:rsidR="005A6644" w:rsidRPr="00CC49A3">
        <w:rPr>
          <w:rFonts w:asciiTheme="minorHAnsi" w:hAnsiTheme="minorHAnsi" w:cstheme="minorHAnsi"/>
        </w:rPr>
        <w:t>existing</w:t>
      </w:r>
      <w:r w:rsidR="00C33FFF" w:rsidRPr="00CC49A3">
        <w:rPr>
          <w:rFonts w:asciiTheme="minorHAnsi" w:hAnsiTheme="minorHAnsi" w:cstheme="minorHAnsi"/>
        </w:rPr>
        <w:t xml:space="preserve"> coal units</w:t>
      </w:r>
      <w:r w:rsidR="0093076E" w:rsidRPr="00CC49A3">
        <w:rPr>
          <w:rFonts w:asciiTheme="minorHAnsi" w:hAnsiTheme="minorHAnsi" w:cstheme="minorHAnsi"/>
        </w:rPr>
        <w:t xml:space="preserve"> that</w:t>
      </w:r>
      <w:r w:rsidR="00AE50B2" w:rsidRPr="00CC49A3">
        <w:rPr>
          <w:rFonts w:asciiTheme="minorHAnsi" w:hAnsiTheme="minorHAnsi" w:cstheme="minorHAnsi"/>
        </w:rPr>
        <w:t xml:space="preserve"> fully convert to</w:t>
      </w:r>
      <w:r w:rsidR="00E7300E" w:rsidRPr="00CC49A3">
        <w:rPr>
          <w:rFonts w:asciiTheme="minorHAnsi" w:hAnsiTheme="minorHAnsi" w:cstheme="minorHAnsi"/>
        </w:rPr>
        <w:t xml:space="preserve"> </w:t>
      </w:r>
      <w:r w:rsidR="0013535E" w:rsidRPr="00CC49A3">
        <w:rPr>
          <w:rFonts w:asciiTheme="minorHAnsi" w:hAnsiTheme="minorHAnsi" w:cstheme="minorHAnsi"/>
        </w:rPr>
        <w:t>fire</w:t>
      </w:r>
      <w:r w:rsidR="00AE50B2" w:rsidRPr="00CC49A3">
        <w:rPr>
          <w:rFonts w:asciiTheme="minorHAnsi" w:hAnsiTheme="minorHAnsi" w:cstheme="minorHAnsi"/>
        </w:rPr>
        <w:t xml:space="preserve"> natural gas</w:t>
      </w:r>
      <w:r w:rsidR="00D90DE7" w:rsidRPr="00CC49A3">
        <w:rPr>
          <w:rFonts w:asciiTheme="minorHAnsi" w:hAnsiTheme="minorHAnsi" w:cstheme="minorHAnsi"/>
        </w:rPr>
        <w:t xml:space="preserve"> </w:t>
      </w:r>
      <w:r w:rsidR="00E7300E" w:rsidRPr="00CC49A3">
        <w:rPr>
          <w:rFonts w:asciiTheme="minorHAnsi" w:hAnsiTheme="minorHAnsi" w:cstheme="minorHAnsi"/>
        </w:rPr>
        <w:t xml:space="preserve">only </w:t>
      </w:r>
      <w:r w:rsidR="00D90DE7" w:rsidRPr="00CC49A3">
        <w:rPr>
          <w:rFonts w:asciiTheme="minorHAnsi" w:hAnsiTheme="minorHAnsi" w:cstheme="minorHAnsi"/>
        </w:rPr>
        <w:t>by January 1, 2030</w:t>
      </w:r>
      <w:r w:rsidR="0093076E" w:rsidRPr="00CC49A3">
        <w:rPr>
          <w:rFonts w:asciiTheme="minorHAnsi" w:hAnsiTheme="minorHAnsi" w:cstheme="minorHAnsi"/>
        </w:rPr>
        <w:t>, to be considere</w:t>
      </w:r>
      <w:r w:rsidR="00026EA3" w:rsidRPr="00CC49A3">
        <w:rPr>
          <w:rFonts w:asciiTheme="minorHAnsi" w:hAnsiTheme="minorHAnsi" w:cstheme="minorHAnsi"/>
        </w:rPr>
        <w:t>d natural gas</w:t>
      </w:r>
      <w:r w:rsidR="007669A3" w:rsidRPr="00CC49A3">
        <w:rPr>
          <w:rFonts w:asciiTheme="minorHAnsi" w:hAnsiTheme="minorHAnsi" w:cstheme="minorHAnsi"/>
        </w:rPr>
        <w:t>-fired</w:t>
      </w:r>
      <w:r w:rsidR="00026EA3" w:rsidRPr="00CC49A3">
        <w:rPr>
          <w:rFonts w:asciiTheme="minorHAnsi" w:hAnsiTheme="minorHAnsi" w:cstheme="minorHAnsi"/>
        </w:rPr>
        <w:t xml:space="preserve"> steam units for compliance purposes.</w:t>
      </w:r>
      <w:r w:rsidR="005B3F65" w:rsidRPr="00CC49A3">
        <w:rPr>
          <w:rFonts w:asciiTheme="minorHAnsi" w:hAnsiTheme="minorHAnsi" w:cstheme="minorHAnsi"/>
        </w:rPr>
        <w:t xml:space="preserve"> Georgia Power </w:t>
      </w:r>
      <w:r w:rsidR="00FF088D" w:rsidRPr="00CC49A3">
        <w:rPr>
          <w:rFonts w:asciiTheme="minorHAnsi" w:hAnsiTheme="minorHAnsi" w:cstheme="minorHAnsi"/>
        </w:rPr>
        <w:t>evaluate</w:t>
      </w:r>
      <w:r w:rsidR="00D60ECC" w:rsidRPr="00CC49A3">
        <w:rPr>
          <w:rFonts w:asciiTheme="minorHAnsi" w:hAnsiTheme="minorHAnsi" w:cstheme="minorHAnsi"/>
        </w:rPr>
        <w:t>s</w:t>
      </w:r>
      <w:r w:rsidR="00FF088D" w:rsidRPr="00CC49A3">
        <w:rPr>
          <w:rFonts w:asciiTheme="minorHAnsi" w:hAnsiTheme="minorHAnsi" w:cstheme="minorHAnsi"/>
        </w:rPr>
        <w:t xml:space="preserve"> this option as part of the Unit Retirement Studies completed for </w:t>
      </w:r>
      <w:r w:rsidR="00B41236" w:rsidRPr="00CC49A3">
        <w:rPr>
          <w:rFonts w:asciiTheme="minorHAnsi" w:hAnsiTheme="minorHAnsi" w:cstheme="minorHAnsi"/>
        </w:rPr>
        <w:t xml:space="preserve">the </w:t>
      </w:r>
      <w:r w:rsidR="00FF088D" w:rsidRPr="00CC49A3">
        <w:rPr>
          <w:rFonts w:asciiTheme="minorHAnsi" w:hAnsiTheme="minorHAnsi" w:cstheme="minorHAnsi"/>
        </w:rPr>
        <w:t xml:space="preserve">2025 </w:t>
      </w:r>
      <w:r w:rsidR="00AB44B2" w:rsidRPr="00CC49A3">
        <w:rPr>
          <w:rFonts w:asciiTheme="minorHAnsi" w:hAnsiTheme="minorHAnsi" w:cstheme="minorHAnsi"/>
        </w:rPr>
        <w:t>Integrated Resource Plan (“</w:t>
      </w:r>
      <w:r w:rsidR="00FF088D" w:rsidRPr="00CC49A3">
        <w:rPr>
          <w:rFonts w:asciiTheme="minorHAnsi" w:hAnsiTheme="minorHAnsi" w:cstheme="minorHAnsi"/>
        </w:rPr>
        <w:t>IRP</w:t>
      </w:r>
      <w:r w:rsidR="00AB44B2" w:rsidRPr="00CC49A3">
        <w:rPr>
          <w:rFonts w:asciiTheme="minorHAnsi" w:hAnsiTheme="minorHAnsi" w:cstheme="minorHAnsi"/>
        </w:rPr>
        <w:t>”)</w:t>
      </w:r>
      <w:r w:rsidR="00120642" w:rsidRPr="00CC49A3">
        <w:rPr>
          <w:rFonts w:asciiTheme="minorHAnsi" w:hAnsiTheme="minorHAnsi" w:cstheme="minorHAnsi"/>
        </w:rPr>
        <w:t xml:space="preserve"> but</w:t>
      </w:r>
      <w:r w:rsidR="00D717F1" w:rsidRPr="00CC49A3">
        <w:rPr>
          <w:rFonts w:asciiTheme="minorHAnsi" w:hAnsiTheme="minorHAnsi" w:cstheme="minorHAnsi"/>
        </w:rPr>
        <w:t>,</w:t>
      </w:r>
      <w:r w:rsidR="00120642" w:rsidRPr="00CC49A3">
        <w:rPr>
          <w:rFonts w:asciiTheme="minorHAnsi" w:hAnsiTheme="minorHAnsi" w:cstheme="minorHAnsi"/>
        </w:rPr>
        <w:t xml:space="preserve"> based on the results,</w:t>
      </w:r>
      <w:r w:rsidR="00F039DB" w:rsidRPr="00CC49A3">
        <w:rPr>
          <w:rFonts w:asciiTheme="minorHAnsi" w:hAnsiTheme="minorHAnsi" w:cstheme="minorHAnsi"/>
        </w:rPr>
        <w:t xml:space="preserve"> only</w:t>
      </w:r>
      <w:r w:rsidR="005463D9" w:rsidRPr="00CC49A3">
        <w:rPr>
          <w:rFonts w:asciiTheme="minorHAnsi" w:hAnsiTheme="minorHAnsi" w:cstheme="minorHAnsi"/>
        </w:rPr>
        <w:t xml:space="preserve"> include</w:t>
      </w:r>
      <w:r w:rsidR="00D717F1" w:rsidRPr="00CC49A3">
        <w:rPr>
          <w:rFonts w:asciiTheme="minorHAnsi" w:hAnsiTheme="minorHAnsi" w:cstheme="minorHAnsi"/>
        </w:rPr>
        <w:t>s</w:t>
      </w:r>
      <w:r w:rsidR="005463D9" w:rsidRPr="00CC49A3">
        <w:rPr>
          <w:rFonts w:asciiTheme="minorHAnsi" w:hAnsiTheme="minorHAnsi" w:cstheme="minorHAnsi"/>
        </w:rPr>
        <w:t xml:space="preserve"> the </w:t>
      </w:r>
      <w:r w:rsidR="0076500D" w:rsidRPr="00CC49A3">
        <w:rPr>
          <w:rFonts w:asciiTheme="minorHAnsi" w:hAnsiTheme="minorHAnsi" w:cstheme="minorHAnsi"/>
        </w:rPr>
        <w:t>coal unit compliance options in this compliance strategy</w:t>
      </w:r>
      <w:r w:rsidR="00D60ECC" w:rsidRPr="00CC49A3">
        <w:rPr>
          <w:rFonts w:asciiTheme="minorHAnsi" w:hAnsiTheme="minorHAnsi" w:cstheme="minorHAnsi"/>
        </w:rPr>
        <w:t>.</w:t>
      </w:r>
    </w:p>
  </w:footnote>
  <w:footnote w:id="4">
    <w:p w14:paraId="684B4862" w14:textId="77777777" w:rsidR="004F3E95" w:rsidRDefault="004F3E95" w:rsidP="004F3E95">
      <w:pPr>
        <w:pStyle w:val="FootnoteText"/>
      </w:pPr>
      <w:r>
        <w:rPr>
          <w:rStyle w:val="FootnoteReference"/>
        </w:rPr>
        <w:footnoteRef/>
      </w:r>
      <w:r>
        <w:t xml:space="preserve"> 88</w:t>
      </w:r>
      <w:r w:rsidRPr="006673C7">
        <w:t xml:space="preserve"> Fed. Reg. </w:t>
      </w:r>
      <w:r>
        <w:t xml:space="preserve">61,964, 61,966 </w:t>
      </w:r>
      <w:r w:rsidRPr="006673C7">
        <w:t xml:space="preserve">(Sept. </w:t>
      </w:r>
      <w:r>
        <w:t>8</w:t>
      </w:r>
      <w:r w:rsidRPr="006673C7">
        <w:t xml:space="preserve">, </w:t>
      </w:r>
      <w:r>
        <w:t>2023).</w:t>
      </w:r>
    </w:p>
  </w:footnote>
  <w:footnote w:id="5">
    <w:p w14:paraId="016DB999" w14:textId="77777777" w:rsidR="001D7D76" w:rsidRPr="00CC49A3" w:rsidRDefault="001D7D76" w:rsidP="00CC49A3">
      <w:pPr>
        <w:pStyle w:val="FootnoteText"/>
        <w:jc w:val="left"/>
        <w:rPr>
          <w:rFonts w:asciiTheme="minorHAnsi" w:hAnsiTheme="minorHAnsi"/>
        </w:rPr>
      </w:pPr>
      <w:r w:rsidRPr="00CC49A3">
        <w:rPr>
          <w:rStyle w:val="FootnoteReference"/>
          <w:rFonts w:asciiTheme="minorHAnsi" w:hAnsiTheme="minorHAnsi"/>
        </w:rPr>
        <w:footnoteRef/>
      </w:r>
      <w:r w:rsidRPr="00CC49A3">
        <w:rPr>
          <w:rFonts w:asciiTheme="minorHAnsi" w:hAnsiTheme="minorHAnsi"/>
        </w:rPr>
        <w:t xml:space="preserve"> https://www.georgiapower.com/our-impact/environment/environmental-compliance/compliance-information.html#elg</w:t>
      </w:r>
    </w:p>
  </w:footnote>
  <w:footnote w:id="6">
    <w:p w14:paraId="33AD1EE9" w14:textId="281C2AE3" w:rsidR="00BB2D47" w:rsidRPr="00CC49A3" w:rsidRDefault="00BB2D47" w:rsidP="00CC49A3">
      <w:pPr>
        <w:jc w:val="left"/>
        <w:rPr>
          <w:sz w:val="20"/>
          <w:szCs w:val="20"/>
        </w:rPr>
      </w:pPr>
      <w:r w:rsidRPr="00CC49A3">
        <w:rPr>
          <w:rStyle w:val="FootnoteReference"/>
          <w:sz w:val="20"/>
          <w:szCs w:val="20"/>
        </w:rPr>
        <w:footnoteRef/>
      </w:r>
      <w:r w:rsidRPr="00CC49A3">
        <w:rPr>
          <w:sz w:val="20"/>
          <w:szCs w:val="20"/>
        </w:rPr>
        <w:t xml:space="preserve"> </w:t>
      </w:r>
      <w:r w:rsidR="005C4625" w:rsidRPr="00CC49A3">
        <w:rPr>
          <w:rFonts w:cs="Calibri"/>
          <w:sz w:val="20"/>
          <w:szCs w:val="20"/>
        </w:rPr>
        <w:t>Memorandum from David M. Uhlmann, Assistant Adm’r, Enforcement &amp; Compliance Assurance, EPA, to Reg’l Adm’rs et al. (Aug. 17, 2023)</w:t>
      </w:r>
      <w:r w:rsidR="002358EE" w:rsidRPr="00CC49A3">
        <w:rPr>
          <w:rFonts w:cs="Calibri"/>
          <w:sz w:val="20"/>
          <w:szCs w:val="20"/>
        </w:rPr>
        <w:t xml:space="preserve">, </w:t>
      </w:r>
      <w:hyperlink r:id="rId1" w:history="1">
        <w:r w:rsidR="002358EE" w:rsidRPr="00CC49A3">
          <w:rPr>
            <w:rStyle w:val="Hyperlink"/>
            <w:rFonts w:asciiTheme="minorHAnsi" w:hAnsiTheme="minorHAnsi" w:cs="Calibri"/>
            <w:sz w:val="20"/>
            <w:szCs w:val="20"/>
          </w:rPr>
          <w:t>https://www.epa.gov/system/files/documents/2023-08/fy2024-27necis.pdf</w:t>
        </w:r>
      </w:hyperlink>
      <w:r w:rsidR="002358EE" w:rsidRPr="00CC49A3">
        <w:rPr>
          <w:rFonts w:cs="Calibri"/>
          <w:sz w:val="20"/>
          <w:szCs w:val="20"/>
        </w:rPr>
        <w:t xml:space="preserve">. </w:t>
      </w:r>
    </w:p>
  </w:footnote>
  <w:footnote w:id="7">
    <w:p w14:paraId="04C487A3" w14:textId="77777777" w:rsidR="00B829DF" w:rsidRPr="00CC49A3" w:rsidRDefault="00B829DF" w:rsidP="00CC49A3">
      <w:pPr>
        <w:pStyle w:val="FootnoteText"/>
        <w:jc w:val="left"/>
        <w:rPr>
          <w:rFonts w:asciiTheme="minorHAnsi" w:hAnsiTheme="minorHAnsi" w:cstheme="minorHAnsi"/>
        </w:rPr>
      </w:pPr>
      <w:r w:rsidRPr="00CC49A3">
        <w:rPr>
          <w:rStyle w:val="FootnoteReference"/>
          <w:rFonts w:asciiTheme="minorHAnsi" w:hAnsiTheme="minorHAnsi"/>
        </w:rPr>
        <w:footnoteRef/>
      </w:r>
      <w:r w:rsidRPr="00CC49A3">
        <w:rPr>
          <w:rFonts w:asciiTheme="minorHAnsi" w:hAnsiTheme="minorHAnsi"/>
        </w:rPr>
        <w:t xml:space="preserve"> </w:t>
      </w:r>
      <w:hyperlink r:id="rId2" w:tgtFrame="_blank" w:tooltip="https://georgiapower.com/ccr" w:history="1">
        <w:r w:rsidRPr="00CC49A3">
          <w:rPr>
            <w:rStyle w:val="Hyperlink"/>
            <w:rFonts w:asciiTheme="minorHAnsi" w:hAnsiTheme="minorHAnsi" w:cstheme="minorHAnsi"/>
            <w:color w:val="auto"/>
          </w:rPr>
          <w:t>https://georgiapower.com/ccr</w:t>
        </w:r>
      </w:hyperlink>
      <w:r w:rsidRPr="00CC49A3">
        <w:rPr>
          <w:rFonts w:asciiTheme="minorHAnsi" w:hAnsiTheme="minorHAnsi" w:cstheme="minorHAnsi"/>
        </w:rPr>
        <w:t> </w:t>
      </w:r>
    </w:p>
    <w:p w14:paraId="02941D02" w14:textId="77777777" w:rsidR="00B829DF" w:rsidRPr="00CC49A3" w:rsidRDefault="00B829DF" w:rsidP="00CC49A3">
      <w:pPr>
        <w:pStyle w:val="FootnoteText"/>
        <w:jc w:val="left"/>
        <w:rPr>
          <w:rFonts w:asciiTheme="minorHAnsi" w:hAnsiTheme="minorHAnsi"/>
        </w:rPr>
      </w:pPr>
    </w:p>
  </w:footnote>
  <w:footnote w:id="8">
    <w:p w14:paraId="6F9A7C5D" w14:textId="08A2FB5C" w:rsidR="003B795D" w:rsidRPr="00113D2F" w:rsidRDefault="003B795D" w:rsidP="00CC49A3">
      <w:pPr>
        <w:pStyle w:val="FootnoteText"/>
        <w:jc w:val="left"/>
        <w:rPr>
          <w:rFonts w:asciiTheme="minorHAnsi" w:hAnsiTheme="minorHAnsi" w:cstheme="minorHAnsi"/>
        </w:rPr>
      </w:pPr>
      <w:r w:rsidRPr="00113D2F">
        <w:rPr>
          <w:rStyle w:val="FootnoteReference"/>
          <w:rFonts w:asciiTheme="minorHAnsi" w:hAnsiTheme="minorHAnsi" w:cstheme="minorHAnsi"/>
        </w:rPr>
        <w:footnoteRef/>
      </w:r>
      <w:r w:rsidRPr="00113D2F">
        <w:rPr>
          <w:rFonts w:asciiTheme="minorHAnsi" w:hAnsiTheme="minorHAnsi" w:cstheme="minorHAnsi"/>
        </w:rPr>
        <w:t xml:space="preserve"> </w:t>
      </w:r>
      <w:r w:rsidR="005A0C3C" w:rsidRPr="00113D2F">
        <w:rPr>
          <w:rFonts w:asciiTheme="minorHAnsi" w:hAnsiTheme="minorHAnsi" w:cstheme="minorHAnsi"/>
        </w:rPr>
        <w:t>Memorandum from the Interagency Working Group on Soc</w:t>
      </w:r>
      <w:r w:rsidR="00331D76">
        <w:rPr>
          <w:rFonts w:asciiTheme="minorHAnsi" w:hAnsiTheme="minorHAnsi" w:cstheme="minorHAnsi"/>
        </w:rPr>
        <w:t>i</w:t>
      </w:r>
      <w:r w:rsidR="005A0C3C" w:rsidRPr="00113D2F">
        <w:rPr>
          <w:rFonts w:asciiTheme="minorHAnsi" w:hAnsiTheme="minorHAnsi" w:cstheme="minorHAnsi"/>
        </w:rPr>
        <w:t>al Cost of Greenhouse Gases (December</w:t>
      </w:r>
      <w:r w:rsidRPr="00113D2F">
        <w:rPr>
          <w:rFonts w:asciiTheme="minorHAnsi" w:hAnsiTheme="minorHAnsi" w:cstheme="minorHAnsi"/>
        </w:rPr>
        <w:t xml:space="preserve"> </w:t>
      </w:r>
      <w:r w:rsidR="00165C3F" w:rsidRPr="00113D2F">
        <w:rPr>
          <w:rFonts w:asciiTheme="minorHAnsi" w:hAnsiTheme="minorHAnsi" w:cstheme="minorHAnsi"/>
        </w:rPr>
        <w:t xml:space="preserve">22, 2023), </w:t>
      </w:r>
      <w:r w:rsidRPr="00113D2F">
        <w:rPr>
          <w:rFonts w:asciiTheme="minorHAnsi" w:hAnsiTheme="minorHAnsi" w:cstheme="minorHAnsi"/>
        </w:rPr>
        <w:t>https://www.whitehouse.gov/wp-content/uploads/2023/12/IWG-Memo-12.22.23.pdf</w:t>
      </w:r>
      <w:r w:rsidR="005E0642" w:rsidRPr="00113D2F">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DC7E5" w14:textId="77777777" w:rsidR="004A5D93" w:rsidRDefault="004A5D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ADF5B" w14:textId="702775B3" w:rsidR="0037771E" w:rsidRPr="0070714E" w:rsidRDefault="0037771E" w:rsidP="00707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1468D" w14:textId="77777777" w:rsidR="004A5D93" w:rsidRDefault="004A5D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46BCD"/>
    <w:multiLevelType w:val="hybridMultilevel"/>
    <w:tmpl w:val="4A8A2716"/>
    <w:lvl w:ilvl="0" w:tplc="0516670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4595F"/>
    <w:multiLevelType w:val="hybridMultilevel"/>
    <w:tmpl w:val="C6843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AE0F4B"/>
    <w:multiLevelType w:val="hybridMultilevel"/>
    <w:tmpl w:val="56EE3CC6"/>
    <w:lvl w:ilvl="0" w:tplc="01BA9D56">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781E28"/>
    <w:multiLevelType w:val="hybridMultilevel"/>
    <w:tmpl w:val="BA96A0EE"/>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9D74F6"/>
    <w:multiLevelType w:val="hybridMultilevel"/>
    <w:tmpl w:val="22FED760"/>
    <w:lvl w:ilvl="0" w:tplc="0E367CB8">
      <w:start w:val="1"/>
      <w:numFmt w:val="bullet"/>
      <w:lvlText w:val=""/>
      <w:lvlJc w:val="left"/>
      <w:pPr>
        <w:ind w:left="720" w:hanging="360"/>
      </w:pPr>
      <w:rPr>
        <w:rFonts w:ascii="Symbol" w:hAnsi="Symbol" w:hint="default"/>
      </w:rPr>
    </w:lvl>
    <w:lvl w:ilvl="1" w:tplc="2F6E0984">
      <w:start w:val="1"/>
      <w:numFmt w:val="bullet"/>
      <w:lvlText w:val="o"/>
      <w:lvlJc w:val="left"/>
      <w:pPr>
        <w:ind w:left="1440" w:hanging="360"/>
      </w:pPr>
      <w:rPr>
        <w:rFonts w:ascii="Courier New" w:hAnsi="Courier New" w:hint="default"/>
      </w:rPr>
    </w:lvl>
    <w:lvl w:ilvl="2" w:tplc="7A4C5AE2">
      <w:start w:val="1"/>
      <w:numFmt w:val="bullet"/>
      <w:lvlText w:val=""/>
      <w:lvlJc w:val="left"/>
      <w:pPr>
        <w:ind w:left="2160" w:hanging="360"/>
      </w:pPr>
      <w:rPr>
        <w:rFonts w:ascii="Wingdings" w:hAnsi="Wingdings" w:hint="default"/>
      </w:rPr>
    </w:lvl>
    <w:lvl w:ilvl="3" w:tplc="EA905CC0">
      <w:start w:val="1"/>
      <w:numFmt w:val="bullet"/>
      <w:lvlText w:val=""/>
      <w:lvlJc w:val="left"/>
      <w:pPr>
        <w:ind w:left="2880" w:hanging="360"/>
      </w:pPr>
      <w:rPr>
        <w:rFonts w:ascii="Symbol" w:hAnsi="Symbol" w:hint="default"/>
      </w:rPr>
    </w:lvl>
    <w:lvl w:ilvl="4" w:tplc="C492BF46">
      <w:start w:val="1"/>
      <w:numFmt w:val="bullet"/>
      <w:lvlText w:val="o"/>
      <w:lvlJc w:val="left"/>
      <w:pPr>
        <w:ind w:left="3600" w:hanging="360"/>
      </w:pPr>
      <w:rPr>
        <w:rFonts w:ascii="Courier New" w:hAnsi="Courier New" w:hint="default"/>
      </w:rPr>
    </w:lvl>
    <w:lvl w:ilvl="5" w:tplc="6DD4C26C">
      <w:start w:val="1"/>
      <w:numFmt w:val="bullet"/>
      <w:lvlText w:val=""/>
      <w:lvlJc w:val="left"/>
      <w:pPr>
        <w:ind w:left="4320" w:hanging="360"/>
      </w:pPr>
      <w:rPr>
        <w:rFonts w:ascii="Wingdings" w:hAnsi="Wingdings" w:hint="default"/>
      </w:rPr>
    </w:lvl>
    <w:lvl w:ilvl="6" w:tplc="4306C19C">
      <w:start w:val="1"/>
      <w:numFmt w:val="bullet"/>
      <w:lvlText w:val=""/>
      <w:lvlJc w:val="left"/>
      <w:pPr>
        <w:ind w:left="5040" w:hanging="360"/>
      </w:pPr>
      <w:rPr>
        <w:rFonts w:ascii="Symbol" w:hAnsi="Symbol" w:hint="default"/>
      </w:rPr>
    </w:lvl>
    <w:lvl w:ilvl="7" w:tplc="F8DA7468">
      <w:start w:val="1"/>
      <w:numFmt w:val="bullet"/>
      <w:lvlText w:val="o"/>
      <w:lvlJc w:val="left"/>
      <w:pPr>
        <w:ind w:left="5760" w:hanging="360"/>
      </w:pPr>
      <w:rPr>
        <w:rFonts w:ascii="Courier New" w:hAnsi="Courier New" w:hint="default"/>
      </w:rPr>
    </w:lvl>
    <w:lvl w:ilvl="8" w:tplc="43B84F60">
      <w:start w:val="1"/>
      <w:numFmt w:val="bullet"/>
      <w:lvlText w:val=""/>
      <w:lvlJc w:val="left"/>
      <w:pPr>
        <w:ind w:left="6480" w:hanging="360"/>
      </w:pPr>
      <w:rPr>
        <w:rFonts w:ascii="Wingdings" w:hAnsi="Wingdings" w:hint="default"/>
      </w:rPr>
    </w:lvl>
  </w:abstractNum>
  <w:abstractNum w:abstractNumId="5" w15:restartNumberingAfterBreak="0">
    <w:nsid w:val="1BFE095D"/>
    <w:multiLevelType w:val="hybridMultilevel"/>
    <w:tmpl w:val="AA18C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FE320C"/>
    <w:multiLevelType w:val="hybridMultilevel"/>
    <w:tmpl w:val="5D2C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161974"/>
    <w:multiLevelType w:val="hybridMultilevel"/>
    <w:tmpl w:val="5186D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93736"/>
    <w:multiLevelType w:val="hybridMultilevel"/>
    <w:tmpl w:val="AA3C6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DB77DF"/>
    <w:multiLevelType w:val="hybridMultilevel"/>
    <w:tmpl w:val="4D0055B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CB55D54"/>
    <w:multiLevelType w:val="hybridMultilevel"/>
    <w:tmpl w:val="4A04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607EC"/>
    <w:multiLevelType w:val="hybridMultilevel"/>
    <w:tmpl w:val="FFFFFFFF"/>
    <w:lvl w:ilvl="0" w:tplc="CF16F524">
      <w:start w:val="1"/>
      <w:numFmt w:val="bullet"/>
      <w:lvlText w:val=""/>
      <w:lvlJc w:val="left"/>
      <w:pPr>
        <w:ind w:left="720" w:hanging="360"/>
      </w:pPr>
      <w:rPr>
        <w:rFonts w:ascii="Symbol" w:hAnsi="Symbol" w:hint="default"/>
      </w:rPr>
    </w:lvl>
    <w:lvl w:ilvl="1" w:tplc="F47E288C">
      <w:start w:val="1"/>
      <w:numFmt w:val="bullet"/>
      <w:lvlText w:val="o"/>
      <w:lvlJc w:val="left"/>
      <w:pPr>
        <w:ind w:left="1440" w:hanging="360"/>
      </w:pPr>
      <w:rPr>
        <w:rFonts w:ascii="Courier New" w:hAnsi="Courier New" w:hint="default"/>
      </w:rPr>
    </w:lvl>
    <w:lvl w:ilvl="2" w:tplc="EA42AE8C">
      <w:start w:val="1"/>
      <w:numFmt w:val="bullet"/>
      <w:lvlText w:val=""/>
      <w:lvlJc w:val="left"/>
      <w:pPr>
        <w:ind w:left="2160" w:hanging="360"/>
      </w:pPr>
      <w:rPr>
        <w:rFonts w:ascii="Wingdings" w:hAnsi="Wingdings" w:hint="default"/>
      </w:rPr>
    </w:lvl>
    <w:lvl w:ilvl="3" w:tplc="A35EF020">
      <w:start w:val="1"/>
      <w:numFmt w:val="bullet"/>
      <w:lvlText w:val=""/>
      <w:lvlJc w:val="left"/>
      <w:pPr>
        <w:ind w:left="2880" w:hanging="360"/>
      </w:pPr>
      <w:rPr>
        <w:rFonts w:ascii="Symbol" w:hAnsi="Symbol" w:hint="default"/>
      </w:rPr>
    </w:lvl>
    <w:lvl w:ilvl="4" w:tplc="B956D204">
      <w:start w:val="1"/>
      <w:numFmt w:val="bullet"/>
      <w:lvlText w:val="o"/>
      <w:lvlJc w:val="left"/>
      <w:pPr>
        <w:ind w:left="3600" w:hanging="360"/>
      </w:pPr>
      <w:rPr>
        <w:rFonts w:ascii="Courier New" w:hAnsi="Courier New" w:hint="default"/>
      </w:rPr>
    </w:lvl>
    <w:lvl w:ilvl="5" w:tplc="92543448">
      <w:start w:val="1"/>
      <w:numFmt w:val="bullet"/>
      <w:lvlText w:val=""/>
      <w:lvlJc w:val="left"/>
      <w:pPr>
        <w:ind w:left="4320" w:hanging="360"/>
      </w:pPr>
      <w:rPr>
        <w:rFonts w:ascii="Wingdings" w:hAnsi="Wingdings" w:hint="default"/>
      </w:rPr>
    </w:lvl>
    <w:lvl w:ilvl="6" w:tplc="F5124B96">
      <w:start w:val="1"/>
      <w:numFmt w:val="bullet"/>
      <w:lvlText w:val=""/>
      <w:lvlJc w:val="left"/>
      <w:pPr>
        <w:ind w:left="5040" w:hanging="360"/>
      </w:pPr>
      <w:rPr>
        <w:rFonts w:ascii="Symbol" w:hAnsi="Symbol" w:hint="default"/>
      </w:rPr>
    </w:lvl>
    <w:lvl w:ilvl="7" w:tplc="24BA45A4">
      <w:start w:val="1"/>
      <w:numFmt w:val="bullet"/>
      <w:lvlText w:val="o"/>
      <w:lvlJc w:val="left"/>
      <w:pPr>
        <w:ind w:left="5760" w:hanging="360"/>
      </w:pPr>
      <w:rPr>
        <w:rFonts w:ascii="Courier New" w:hAnsi="Courier New" w:hint="default"/>
      </w:rPr>
    </w:lvl>
    <w:lvl w:ilvl="8" w:tplc="136A0AFE">
      <w:start w:val="1"/>
      <w:numFmt w:val="bullet"/>
      <w:lvlText w:val=""/>
      <w:lvlJc w:val="left"/>
      <w:pPr>
        <w:ind w:left="6480" w:hanging="360"/>
      </w:pPr>
      <w:rPr>
        <w:rFonts w:ascii="Wingdings" w:hAnsi="Wingdings" w:hint="default"/>
      </w:rPr>
    </w:lvl>
  </w:abstractNum>
  <w:abstractNum w:abstractNumId="12" w15:restartNumberingAfterBreak="0">
    <w:nsid w:val="30723788"/>
    <w:multiLevelType w:val="multilevel"/>
    <w:tmpl w:val="559E01E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3FC7F27"/>
    <w:multiLevelType w:val="hybridMultilevel"/>
    <w:tmpl w:val="9B881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CE711D"/>
    <w:multiLevelType w:val="hybridMultilevel"/>
    <w:tmpl w:val="8674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631F1"/>
    <w:multiLevelType w:val="hybridMultilevel"/>
    <w:tmpl w:val="4E66F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8B7A08"/>
    <w:multiLevelType w:val="hybridMultilevel"/>
    <w:tmpl w:val="FFFFFFFF"/>
    <w:lvl w:ilvl="0" w:tplc="B4C8DDC0">
      <w:start w:val="1"/>
      <w:numFmt w:val="bullet"/>
      <w:lvlText w:val=""/>
      <w:lvlJc w:val="left"/>
      <w:pPr>
        <w:ind w:left="720" w:hanging="360"/>
      </w:pPr>
      <w:rPr>
        <w:rFonts w:ascii="Symbol" w:hAnsi="Symbol" w:hint="default"/>
      </w:rPr>
    </w:lvl>
    <w:lvl w:ilvl="1" w:tplc="BDB43D62">
      <w:start w:val="1"/>
      <w:numFmt w:val="bullet"/>
      <w:lvlText w:val="o"/>
      <w:lvlJc w:val="left"/>
      <w:pPr>
        <w:ind w:left="1440" w:hanging="360"/>
      </w:pPr>
      <w:rPr>
        <w:rFonts w:ascii="Courier New" w:hAnsi="Courier New" w:hint="default"/>
      </w:rPr>
    </w:lvl>
    <w:lvl w:ilvl="2" w:tplc="4BD225BC">
      <w:start w:val="1"/>
      <w:numFmt w:val="bullet"/>
      <w:lvlText w:val=""/>
      <w:lvlJc w:val="left"/>
      <w:pPr>
        <w:ind w:left="2160" w:hanging="360"/>
      </w:pPr>
      <w:rPr>
        <w:rFonts w:ascii="Wingdings" w:hAnsi="Wingdings" w:hint="default"/>
      </w:rPr>
    </w:lvl>
    <w:lvl w:ilvl="3" w:tplc="FA704C06">
      <w:start w:val="1"/>
      <w:numFmt w:val="bullet"/>
      <w:lvlText w:val=""/>
      <w:lvlJc w:val="left"/>
      <w:pPr>
        <w:ind w:left="2880" w:hanging="360"/>
      </w:pPr>
      <w:rPr>
        <w:rFonts w:ascii="Symbol" w:hAnsi="Symbol" w:hint="default"/>
      </w:rPr>
    </w:lvl>
    <w:lvl w:ilvl="4" w:tplc="D8445536">
      <w:start w:val="1"/>
      <w:numFmt w:val="bullet"/>
      <w:lvlText w:val="o"/>
      <w:lvlJc w:val="left"/>
      <w:pPr>
        <w:ind w:left="3600" w:hanging="360"/>
      </w:pPr>
      <w:rPr>
        <w:rFonts w:ascii="Courier New" w:hAnsi="Courier New" w:hint="default"/>
      </w:rPr>
    </w:lvl>
    <w:lvl w:ilvl="5" w:tplc="664A989C">
      <w:start w:val="1"/>
      <w:numFmt w:val="bullet"/>
      <w:lvlText w:val=""/>
      <w:lvlJc w:val="left"/>
      <w:pPr>
        <w:ind w:left="4320" w:hanging="360"/>
      </w:pPr>
      <w:rPr>
        <w:rFonts w:ascii="Wingdings" w:hAnsi="Wingdings" w:hint="default"/>
      </w:rPr>
    </w:lvl>
    <w:lvl w:ilvl="6" w:tplc="0626566E">
      <w:start w:val="1"/>
      <w:numFmt w:val="bullet"/>
      <w:lvlText w:val=""/>
      <w:lvlJc w:val="left"/>
      <w:pPr>
        <w:ind w:left="5040" w:hanging="360"/>
      </w:pPr>
      <w:rPr>
        <w:rFonts w:ascii="Symbol" w:hAnsi="Symbol" w:hint="default"/>
      </w:rPr>
    </w:lvl>
    <w:lvl w:ilvl="7" w:tplc="1AC2E364">
      <w:start w:val="1"/>
      <w:numFmt w:val="bullet"/>
      <w:lvlText w:val="o"/>
      <w:lvlJc w:val="left"/>
      <w:pPr>
        <w:ind w:left="5760" w:hanging="360"/>
      </w:pPr>
      <w:rPr>
        <w:rFonts w:ascii="Courier New" w:hAnsi="Courier New" w:hint="default"/>
      </w:rPr>
    </w:lvl>
    <w:lvl w:ilvl="8" w:tplc="070A4CD2">
      <w:start w:val="1"/>
      <w:numFmt w:val="bullet"/>
      <w:lvlText w:val=""/>
      <w:lvlJc w:val="left"/>
      <w:pPr>
        <w:ind w:left="6480" w:hanging="360"/>
      </w:pPr>
      <w:rPr>
        <w:rFonts w:ascii="Wingdings" w:hAnsi="Wingdings" w:hint="default"/>
      </w:rPr>
    </w:lvl>
  </w:abstractNum>
  <w:abstractNum w:abstractNumId="17" w15:restartNumberingAfterBreak="0">
    <w:nsid w:val="3FF6751C"/>
    <w:multiLevelType w:val="hybridMultilevel"/>
    <w:tmpl w:val="309A0574"/>
    <w:lvl w:ilvl="0" w:tplc="0EF2A97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94FE4"/>
    <w:multiLevelType w:val="hybridMultilevel"/>
    <w:tmpl w:val="FFFFFFFF"/>
    <w:lvl w:ilvl="0" w:tplc="348C6374">
      <w:start w:val="1"/>
      <w:numFmt w:val="bullet"/>
      <w:lvlText w:val="o"/>
      <w:lvlJc w:val="left"/>
      <w:pPr>
        <w:ind w:left="1080" w:hanging="360"/>
      </w:pPr>
      <w:rPr>
        <w:rFonts w:ascii="Courier New" w:hAnsi="Courier New" w:hint="default"/>
      </w:rPr>
    </w:lvl>
    <w:lvl w:ilvl="1" w:tplc="B6322B60">
      <w:start w:val="1"/>
      <w:numFmt w:val="bullet"/>
      <w:lvlText w:val="o"/>
      <w:lvlJc w:val="left"/>
      <w:pPr>
        <w:ind w:left="1800" w:hanging="360"/>
      </w:pPr>
      <w:rPr>
        <w:rFonts w:ascii="Courier New" w:hAnsi="Courier New" w:hint="default"/>
      </w:rPr>
    </w:lvl>
    <w:lvl w:ilvl="2" w:tplc="7E9A3BE4">
      <w:start w:val="1"/>
      <w:numFmt w:val="bullet"/>
      <w:lvlText w:val=""/>
      <w:lvlJc w:val="left"/>
      <w:pPr>
        <w:ind w:left="2520" w:hanging="360"/>
      </w:pPr>
      <w:rPr>
        <w:rFonts w:ascii="Wingdings" w:hAnsi="Wingdings" w:hint="default"/>
      </w:rPr>
    </w:lvl>
    <w:lvl w:ilvl="3" w:tplc="F69431B2">
      <w:start w:val="1"/>
      <w:numFmt w:val="bullet"/>
      <w:lvlText w:val=""/>
      <w:lvlJc w:val="left"/>
      <w:pPr>
        <w:ind w:left="3240" w:hanging="360"/>
      </w:pPr>
      <w:rPr>
        <w:rFonts w:ascii="Symbol" w:hAnsi="Symbol" w:hint="default"/>
      </w:rPr>
    </w:lvl>
    <w:lvl w:ilvl="4" w:tplc="C0E6C090">
      <w:start w:val="1"/>
      <w:numFmt w:val="bullet"/>
      <w:lvlText w:val="o"/>
      <w:lvlJc w:val="left"/>
      <w:pPr>
        <w:ind w:left="3960" w:hanging="360"/>
      </w:pPr>
      <w:rPr>
        <w:rFonts w:ascii="Courier New" w:hAnsi="Courier New" w:hint="default"/>
      </w:rPr>
    </w:lvl>
    <w:lvl w:ilvl="5" w:tplc="CEB0EDA8">
      <w:start w:val="1"/>
      <w:numFmt w:val="bullet"/>
      <w:lvlText w:val=""/>
      <w:lvlJc w:val="left"/>
      <w:pPr>
        <w:ind w:left="4680" w:hanging="360"/>
      </w:pPr>
      <w:rPr>
        <w:rFonts w:ascii="Wingdings" w:hAnsi="Wingdings" w:hint="default"/>
      </w:rPr>
    </w:lvl>
    <w:lvl w:ilvl="6" w:tplc="DA06A588">
      <w:start w:val="1"/>
      <w:numFmt w:val="bullet"/>
      <w:lvlText w:val=""/>
      <w:lvlJc w:val="left"/>
      <w:pPr>
        <w:ind w:left="5400" w:hanging="360"/>
      </w:pPr>
      <w:rPr>
        <w:rFonts w:ascii="Symbol" w:hAnsi="Symbol" w:hint="default"/>
      </w:rPr>
    </w:lvl>
    <w:lvl w:ilvl="7" w:tplc="F3082700">
      <w:start w:val="1"/>
      <w:numFmt w:val="bullet"/>
      <w:lvlText w:val="o"/>
      <w:lvlJc w:val="left"/>
      <w:pPr>
        <w:ind w:left="6120" w:hanging="360"/>
      </w:pPr>
      <w:rPr>
        <w:rFonts w:ascii="Courier New" w:hAnsi="Courier New" w:hint="default"/>
      </w:rPr>
    </w:lvl>
    <w:lvl w:ilvl="8" w:tplc="99DC1598">
      <w:start w:val="1"/>
      <w:numFmt w:val="bullet"/>
      <w:lvlText w:val=""/>
      <w:lvlJc w:val="left"/>
      <w:pPr>
        <w:ind w:left="6840" w:hanging="360"/>
      </w:pPr>
      <w:rPr>
        <w:rFonts w:ascii="Wingdings" w:hAnsi="Wingdings" w:hint="default"/>
      </w:rPr>
    </w:lvl>
  </w:abstractNum>
  <w:abstractNum w:abstractNumId="19" w15:restartNumberingAfterBreak="0">
    <w:nsid w:val="50AA5646"/>
    <w:multiLevelType w:val="hybridMultilevel"/>
    <w:tmpl w:val="19C02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A13826"/>
    <w:multiLevelType w:val="hybridMultilevel"/>
    <w:tmpl w:val="7230387C"/>
    <w:lvl w:ilvl="0" w:tplc="04090001">
      <w:start w:val="1"/>
      <w:numFmt w:val="bullet"/>
      <w:lvlText w:val=""/>
      <w:lvlJc w:val="left"/>
      <w:pPr>
        <w:ind w:left="720" w:hanging="360"/>
      </w:pPr>
      <w:rPr>
        <w:rFonts w:ascii="Symbol" w:hAnsi="Symbol" w:hint="default"/>
      </w:rPr>
    </w:lvl>
    <w:lvl w:ilvl="1" w:tplc="A80C403E">
      <w:start w:val="1"/>
      <w:numFmt w:val="decimal"/>
      <w:lvlText w:val="%2."/>
      <w:lvlJc w:val="left"/>
      <w:pPr>
        <w:ind w:left="1440" w:hanging="360"/>
      </w:pPr>
      <w:rPr>
        <w:rFonts w:asciiTheme="minorHAnsi" w:hAnsiTheme="minorHAnsi" w:cstheme="minorHAnsi" w:hint="default"/>
        <w:b w:val="0"/>
        <w:bCs w:val="0"/>
        <w:sz w:val="22"/>
        <w:szCs w:val="2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A7108"/>
    <w:multiLevelType w:val="hybridMultilevel"/>
    <w:tmpl w:val="1D5EF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F6929"/>
    <w:multiLevelType w:val="hybridMultilevel"/>
    <w:tmpl w:val="CFAEF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4215BE"/>
    <w:multiLevelType w:val="hybridMultilevel"/>
    <w:tmpl w:val="B39A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6113A8"/>
    <w:multiLevelType w:val="hybridMultilevel"/>
    <w:tmpl w:val="70200D9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15:restartNumberingAfterBreak="0">
    <w:nsid w:val="5AFB1ADB"/>
    <w:multiLevelType w:val="hybridMultilevel"/>
    <w:tmpl w:val="D54EC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C2E2B5"/>
    <w:multiLevelType w:val="hybridMultilevel"/>
    <w:tmpl w:val="24926156"/>
    <w:lvl w:ilvl="0" w:tplc="9F4CC596">
      <w:start w:val="1"/>
      <w:numFmt w:val="bullet"/>
      <w:lvlText w:val=""/>
      <w:lvlJc w:val="left"/>
      <w:pPr>
        <w:ind w:left="720" w:hanging="360"/>
      </w:pPr>
      <w:rPr>
        <w:rFonts w:ascii="Symbol" w:hAnsi="Symbol" w:hint="default"/>
      </w:rPr>
    </w:lvl>
    <w:lvl w:ilvl="1" w:tplc="C0E23CC8">
      <w:start w:val="1"/>
      <w:numFmt w:val="bullet"/>
      <w:lvlText w:val="o"/>
      <w:lvlJc w:val="left"/>
      <w:pPr>
        <w:ind w:left="1440" w:hanging="360"/>
      </w:pPr>
      <w:rPr>
        <w:rFonts w:ascii="Courier New" w:hAnsi="Courier New" w:hint="default"/>
      </w:rPr>
    </w:lvl>
    <w:lvl w:ilvl="2" w:tplc="509257CA">
      <w:start w:val="1"/>
      <w:numFmt w:val="bullet"/>
      <w:lvlText w:val=""/>
      <w:lvlJc w:val="left"/>
      <w:pPr>
        <w:ind w:left="2160" w:hanging="360"/>
      </w:pPr>
      <w:rPr>
        <w:rFonts w:ascii="Wingdings" w:hAnsi="Wingdings" w:hint="default"/>
      </w:rPr>
    </w:lvl>
    <w:lvl w:ilvl="3" w:tplc="37ECD8B0">
      <w:start w:val="1"/>
      <w:numFmt w:val="bullet"/>
      <w:lvlText w:val=""/>
      <w:lvlJc w:val="left"/>
      <w:pPr>
        <w:ind w:left="2880" w:hanging="360"/>
      </w:pPr>
      <w:rPr>
        <w:rFonts w:ascii="Symbol" w:hAnsi="Symbol" w:hint="default"/>
      </w:rPr>
    </w:lvl>
    <w:lvl w:ilvl="4" w:tplc="8FCC2D24">
      <w:start w:val="1"/>
      <w:numFmt w:val="bullet"/>
      <w:lvlText w:val="o"/>
      <w:lvlJc w:val="left"/>
      <w:pPr>
        <w:ind w:left="3600" w:hanging="360"/>
      </w:pPr>
      <w:rPr>
        <w:rFonts w:ascii="Courier New" w:hAnsi="Courier New" w:hint="default"/>
      </w:rPr>
    </w:lvl>
    <w:lvl w:ilvl="5" w:tplc="2D4290EE">
      <w:start w:val="1"/>
      <w:numFmt w:val="bullet"/>
      <w:lvlText w:val=""/>
      <w:lvlJc w:val="left"/>
      <w:pPr>
        <w:ind w:left="4320" w:hanging="360"/>
      </w:pPr>
      <w:rPr>
        <w:rFonts w:ascii="Wingdings" w:hAnsi="Wingdings" w:hint="default"/>
      </w:rPr>
    </w:lvl>
    <w:lvl w:ilvl="6" w:tplc="65D66330">
      <w:start w:val="1"/>
      <w:numFmt w:val="bullet"/>
      <w:lvlText w:val=""/>
      <w:lvlJc w:val="left"/>
      <w:pPr>
        <w:ind w:left="5040" w:hanging="360"/>
      </w:pPr>
      <w:rPr>
        <w:rFonts w:ascii="Symbol" w:hAnsi="Symbol" w:hint="default"/>
      </w:rPr>
    </w:lvl>
    <w:lvl w:ilvl="7" w:tplc="C100981E">
      <w:start w:val="1"/>
      <w:numFmt w:val="bullet"/>
      <w:lvlText w:val="o"/>
      <w:lvlJc w:val="left"/>
      <w:pPr>
        <w:ind w:left="5760" w:hanging="360"/>
      </w:pPr>
      <w:rPr>
        <w:rFonts w:ascii="Courier New" w:hAnsi="Courier New" w:hint="default"/>
      </w:rPr>
    </w:lvl>
    <w:lvl w:ilvl="8" w:tplc="23F49F08">
      <w:start w:val="1"/>
      <w:numFmt w:val="bullet"/>
      <w:lvlText w:val=""/>
      <w:lvlJc w:val="left"/>
      <w:pPr>
        <w:ind w:left="6480" w:hanging="360"/>
      </w:pPr>
      <w:rPr>
        <w:rFonts w:ascii="Wingdings" w:hAnsi="Wingdings" w:hint="default"/>
      </w:rPr>
    </w:lvl>
  </w:abstractNum>
  <w:abstractNum w:abstractNumId="27" w15:restartNumberingAfterBreak="0">
    <w:nsid w:val="62F469A9"/>
    <w:multiLevelType w:val="hybridMultilevel"/>
    <w:tmpl w:val="E700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E59AC"/>
    <w:multiLevelType w:val="hybridMultilevel"/>
    <w:tmpl w:val="D09EF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277AAE"/>
    <w:multiLevelType w:val="hybridMultilevel"/>
    <w:tmpl w:val="75860EA6"/>
    <w:lvl w:ilvl="0" w:tplc="6DD881B6">
      <w:start w:val="1"/>
      <w:numFmt w:val="decimal"/>
      <w:lvlText w:val="%1."/>
      <w:lvlJc w:val="left"/>
      <w:pPr>
        <w:ind w:left="1020" w:hanging="360"/>
      </w:pPr>
    </w:lvl>
    <w:lvl w:ilvl="1" w:tplc="B212EA70">
      <w:start w:val="1"/>
      <w:numFmt w:val="decimal"/>
      <w:lvlText w:val="%2."/>
      <w:lvlJc w:val="left"/>
      <w:pPr>
        <w:ind w:left="1020" w:hanging="360"/>
      </w:pPr>
    </w:lvl>
    <w:lvl w:ilvl="2" w:tplc="4EE4D35A">
      <w:start w:val="1"/>
      <w:numFmt w:val="decimal"/>
      <w:lvlText w:val="%3."/>
      <w:lvlJc w:val="left"/>
      <w:pPr>
        <w:ind w:left="1020" w:hanging="360"/>
      </w:pPr>
    </w:lvl>
    <w:lvl w:ilvl="3" w:tplc="AC20F7AE">
      <w:start w:val="1"/>
      <w:numFmt w:val="decimal"/>
      <w:lvlText w:val="%4."/>
      <w:lvlJc w:val="left"/>
      <w:pPr>
        <w:ind w:left="1020" w:hanging="360"/>
      </w:pPr>
    </w:lvl>
    <w:lvl w:ilvl="4" w:tplc="9A58B432">
      <w:start w:val="1"/>
      <w:numFmt w:val="decimal"/>
      <w:lvlText w:val="%5."/>
      <w:lvlJc w:val="left"/>
      <w:pPr>
        <w:ind w:left="1020" w:hanging="360"/>
      </w:pPr>
    </w:lvl>
    <w:lvl w:ilvl="5" w:tplc="5D6A1136">
      <w:start w:val="1"/>
      <w:numFmt w:val="decimal"/>
      <w:lvlText w:val="%6."/>
      <w:lvlJc w:val="left"/>
      <w:pPr>
        <w:ind w:left="1020" w:hanging="360"/>
      </w:pPr>
    </w:lvl>
    <w:lvl w:ilvl="6" w:tplc="BE6A5FDA">
      <w:start w:val="1"/>
      <w:numFmt w:val="decimal"/>
      <w:lvlText w:val="%7."/>
      <w:lvlJc w:val="left"/>
      <w:pPr>
        <w:ind w:left="1020" w:hanging="360"/>
      </w:pPr>
    </w:lvl>
    <w:lvl w:ilvl="7" w:tplc="C5C6F050">
      <w:start w:val="1"/>
      <w:numFmt w:val="decimal"/>
      <w:lvlText w:val="%8."/>
      <w:lvlJc w:val="left"/>
      <w:pPr>
        <w:ind w:left="1020" w:hanging="360"/>
      </w:pPr>
    </w:lvl>
    <w:lvl w:ilvl="8" w:tplc="BD60A39A">
      <w:start w:val="1"/>
      <w:numFmt w:val="decimal"/>
      <w:lvlText w:val="%9."/>
      <w:lvlJc w:val="left"/>
      <w:pPr>
        <w:ind w:left="1020" w:hanging="360"/>
      </w:pPr>
    </w:lvl>
  </w:abstractNum>
  <w:abstractNum w:abstractNumId="30" w15:restartNumberingAfterBreak="0">
    <w:nsid w:val="6C1821B1"/>
    <w:multiLevelType w:val="hybridMultilevel"/>
    <w:tmpl w:val="14A8D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B00E1E"/>
    <w:multiLevelType w:val="hybridMultilevel"/>
    <w:tmpl w:val="83C6B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360F7D"/>
    <w:multiLevelType w:val="hybridMultilevel"/>
    <w:tmpl w:val="9DB0E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A40C34"/>
    <w:multiLevelType w:val="hybridMultilevel"/>
    <w:tmpl w:val="A29E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7808D3"/>
    <w:multiLevelType w:val="hybridMultilevel"/>
    <w:tmpl w:val="FFFFFFFF"/>
    <w:lvl w:ilvl="0" w:tplc="A2C25406">
      <w:start w:val="1"/>
      <w:numFmt w:val="bullet"/>
      <w:lvlText w:val=""/>
      <w:lvlJc w:val="left"/>
      <w:pPr>
        <w:ind w:left="1080" w:hanging="360"/>
      </w:pPr>
      <w:rPr>
        <w:rFonts w:ascii="Symbol" w:hAnsi="Symbol" w:hint="default"/>
      </w:rPr>
    </w:lvl>
    <w:lvl w:ilvl="1" w:tplc="C9485830">
      <w:start w:val="1"/>
      <w:numFmt w:val="bullet"/>
      <w:lvlText w:val="o"/>
      <w:lvlJc w:val="left"/>
      <w:pPr>
        <w:ind w:left="1800" w:hanging="360"/>
      </w:pPr>
      <w:rPr>
        <w:rFonts w:ascii="Courier New" w:hAnsi="Courier New" w:hint="default"/>
      </w:rPr>
    </w:lvl>
    <w:lvl w:ilvl="2" w:tplc="8D7A0ED0">
      <w:start w:val="1"/>
      <w:numFmt w:val="bullet"/>
      <w:lvlText w:val=""/>
      <w:lvlJc w:val="left"/>
      <w:pPr>
        <w:ind w:left="2520" w:hanging="360"/>
      </w:pPr>
      <w:rPr>
        <w:rFonts w:ascii="Wingdings" w:hAnsi="Wingdings" w:hint="default"/>
      </w:rPr>
    </w:lvl>
    <w:lvl w:ilvl="3" w:tplc="97D8A1D6">
      <w:start w:val="1"/>
      <w:numFmt w:val="bullet"/>
      <w:lvlText w:val=""/>
      <w:lvlJc w:val="left"/>
      <w:pPr>
        <w:ind w:left="3240" w:hanging="360"/>
      </w:pPr>
      <w:rPr>
        <w:rFonts w:ascii="Symbol" w:hAnsi="Symbol" w:hint="default"/>
      </w:rPr>
    </w:lvl>
    <w:lvl w:ilvl="4" w:tplc="36908ED4">
      <w:start w:val="1"/>
      <w:numFmt w:val="bullet"/>
      <w:lvlText w:val="o"/>
      <w:lvlJc w:val="left"/>
      <w:pPr>
        <w:ind w:left="3960" w:hanging="360"/>
      </w:pPr>
      <w:rPr>
        <w:rFonts w:ascii="Courier New" w:hAnsi="Courier New" w:hint="default"/>
      </w:rPr>
    </w:lvl>
    <w:lvl w:ilvl="5" w:tplc="F3C0D686">
      <w:start w:val="1"/>
      <w:numFmt w:val="bullet"/>
      <w:lvlText w:val=""/>
      <w:lvlJc w:val="left"/>
      <w:pPr>
        <w:ind w:left="4680" w:hanging="360"/>
      </w:pPr>
      <w:rPr>
        <w:rFonts w:ascii="Wingdings" w:hAnsi="Wingdings" w:hint="default"/>
      </w:rPr>
    </w:lvl>
    <w:lvl w:ilvl="6" w:tplc="79EE39A0">
      <w:start w:val="1"/>
      <w:numFmt w:val="bullet"/>
      <w:lvlText w:val=""/>
      <w:lvlJc w:val="left"/>
      <w:pPr>
        <w:ind w:left="5400" w:hanging="360"/>
      </w:pPr>
      <w:rPr>
        <w:rFonts w:ascii="Symbol" w:hAnsi="Symbol" w:hint="default"/>
      </w:rPr>
    </w:lvl>
    <w:lvl w:ilvl="7" w:tplc="FA16CE7E">
      <w:start w:val="1"/>
      <w:numFmt w:val="bullet"/>
      <w:lvlText w:val="o"/>
      <w:lvlJc w:val="left"/>
      <w:pPr>
        <w:ind w:left="6120" w:hanging="360"/>
      </w:pPr>
      <w:rPr>
        <w:rFonts w:ascii="Courier New" w:hAnsi="Courier New" w:hint="default"/>
      </w:rPr>
    </w:lvl>
    <w:lvl w:ilvl="8" w:tplc="407E71A6">
      <w:start w:val="1"/>
      <w:numFmt w:val="bullet"/>
      <w:lvlText w:val=""/>
      <w:lvlJc w:val="left"/>
      <w:pPr>
        <w:ind w:left="6840" w:hanging="360"/>
      </w:pPr>
      <w:rPr>
        <w:rFonts w:ascii="Wingdings" w:hAnsi="Wingdings" w:hint="default"/>
      </w:rPr>
    </w:lvl>
  </w:abstractNum>
  <w:abstractNum w:abstractNumId="35" w15:restartNumberingAfterBreak="0">
    <w:nsid w:val="7C9358C9"/>
    <w:multiLevelType w:val="hybridMultilevel"/>
    <w:tmpl w:val="DCD09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8045387">
    <w:abstractNumId w:val="3"/>
  </w:num>
  <w:num w:numId="2" w16cid:durableId="865101770">
    <w:abstractNumId w:val="2"/>
  </w:num>
  <w:num w:numId="3" w16cid:durableId="354507146">
    <w:abstractNumId w:val="20"/>
  </w:num>
  <w:num w:numId="4" w16cid:durableId="1794403221">
    <w:abstractNumId w:val="14"/>
  </w:num>
  <w:num w:numId="5" w16cid:durableId="1221553705">
    <w:abstractNumId w:val="12"/>
  </w:num>
  <w:num w:numId="6" w16cid:durableId="1807044405">
    <w:abstractNumId w:val="28"/>
  </w:num>
  <w:num w:numId="7" w16cid:durableId="516700892">
    <w:abstractNumId w:val="25"/>
  </w:num>
  <w:num w:numId="8" w16cid:durableId="170025472">
    <w:abstractNumId w:val="30"/>
  </w:num>
  <w:num w:numId="9" w16cid:durableId="1275360052">
    <w:abstractNumId w:val="21"/>
  </w:num>
  <w:num w:numId="10" w16cid:durableId="1580167934">
    <w:abstractNumId w:val="19"/>
  </w:num>
  <w:num w:numId="11" w16cid:durableId="2134248678">
    <w:abstractNumId w:val="33"/>
  </w:num>
  <w:num w:numId="12" w16cid:durableId="48308528">
    <w:abstractNumId w:val="23"/>
  </w:num>
  <w:num w:numId="13" w16cid:durableId="768427170">
    <w:abstractNumId w:val="13"/>
  </w:num>
  <w:num w:numId="14" w16cid:durableId="1083330976">
    <w:abstractNumId w:val="7"/>
  </w:num>
  <w:num w:numId="15" w16cid:durableId="2040812328">
    <w:abstractNumId w:val="35"/>
  </w:num>
  <w:num w:numId="16" w16cid:durableId="980235578">
    <w:abstractNumId w:val="10"/>
  </w:num>
  <w:num w:numId="17" w16cid:durableId="147328383">
    <w:abstractNumId w:val="27"/>
  </w:num>
  <w:num w:numId="18" w16cid:durableId="1998338791">
    <w:abstractNumId w:val="22"/>
  </w:num>
  <w:num w:numId="19" w16cid:durableId="745876998">
    <w:abstractNumId w:val="5"/>
  </w:num>
  <w:num w:numId="20" w16cid:durableId="294453290">
    <w:abstractNumId w:val="0"/>
  </w:num>
  <w:num w:numId="21" w16cid:durableId="751775723">
    <w:abstractNumId w:val="26"/>
  </w:num>
  <w:num w:numId="22" w16cid:durableId="1303076421">
    <w:abstractNumId w:val="4"/>
  </w:num>
  <w:num w:numId="23" w16cid:durableId="1645233817">
    <w:abstractNumId w:val="8"/>
  </w:num>
  <w:num w:numId="24" w16cid:durableId="592737163">
    <w:abstractNumId w:val="11"/>
  </w:num>
  <w:num w:numId="25" w16cid:durableId="2103329993">
    <w:abstractNumId w:val="16"/>
  </w:num>
  <w:num w:numId="26" w16cid:durableId="328220010">
    <w:abstractNumId w:val="18"/>
  </w:num>
  <w:num w:numId="27" w16cid:durableId="723407334">
    <w:abstractNumId w:val="34"/>
  </w:num>
  <w:num w:numId="28" w16cid:durableId="61147133">
    <w:abstractNumId w:val="6"/>
  </w:num>
  <w:num w:numId="29" w16cid:durableId="1994407135">
    <w:abstractNumId w:val="17"/>
  </w:num>
  <w:num w:numId="30" w16cid:durableId="1761220099">
    <w:abstractNumId w:val="9"/>
  </w:num>
  <w:num w:numId="31" w16cid:durableId="915285183">
    <w:abstractNumId w:val="24"/>
  </w:num>
  <w:num w:numId="32" w16cid:durableId="158346522">
    <w:abstractNumId w:val="32"/>
  </w:num>
  <w:num w:numId="33" w16cid:durableId="1984776356">
    <w:abstractNumId w:val="31"/>
  </w:num>
  <w:num w:numId="34" w16cid:durableId="1421872515">
    <w:abstractNumId w:val="1"/>
  </w:num>
  <w:num w:numId="35" w16cid:durableId="541213758">
    <w:abstractNumId w:val="15"/>
  </w:num>
  <w:num w:numId="36" w16cid:durableId="1548293956">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E07"/>
    <w:rsid w:val="000000AF"/>
    <w:rsid w:val="000003D6"/>
    <w:rsid w:val="000003DB"/>
    <w:rsid w:val="00000440"/>
    <w:rsid w:val="0000058D"/>
    <w:rsid w:val="0000093D"/>
    <w:rsid w:val="0000129B"/>
    <w:rsid w:val="000014EE"/>
    <w:rsid w:val="00001657"/>
    <w:rsid w:val="00001A14"/>
    <w:rsid w:val="00001F0B"/>
    <w:rsid w:val="000020EA"/>
    <w:rsid w:val="00002266"/>
    <w:rsid w:val="0000229B"/>
    <w:rsid w:val="000022EF"/>
    <w:rsid w:val="0000269D"/>
    <w:rsid w:val="00002B41"/>
    <w:rsid w:val="00002BF4"/>
    <w:rsid w:val="00002DC7"/>
    <w:rsid w:val="00002DE1"/>
    <w:rsid w:val="000030FE"/>
    <w:rsid w:val="0000316B"/>
    <w:rsid w:val="00003434"/>
    <w:rsid w:val="0000347A"/>
    <w:rsid w:val="00003841"/>
    <w:rsid w:val="00003E59"/>
    <w:rsid w:val="00003E96"/>
    <w:rsid w:val="00003EB3"/>
    <w:rsid w:val="0000410A"/>
    <w:rsid w:val="00004137"/>
    <w:rsid w:val="00004179"/>
    <w:rsid w:val="000043D1"/>
    <w:rsid w:val="00004434"/>
    <w:rsid w:val="000044D6"/>
    <w:rsid w:val="000045B2"/>
    <w:rsid w:val="000045D3"/>
    <w:rsid w:val="0000460C"/>
    <w:rsid w:val="0000469B"/>
    <w:rsid w:val="00004B0D"/>
    <w:rsid w:val="00004B6E"/>
    <w:rsid w:val="00004E29"/>
    <w:rsid w:val="000050B5"/>
    <w:rsid w:val="00005202"/>
    <w:rsid w:val="00005248"/>
    <w:rsid w:val="000054E2"/>
    <w:rsid w:val="000054F4"/>
    <w:rsid w:val="00005613"/>
    <w:rsid w:val="00005724"/>
    <w:rsid w:val="00005A50"/>
    <w:rsid w:val="00005AA3"/>
    <w:rsid w:val="00005AD0"/>
    <w:rsid w:val="00005C3E"/>
    <w:rsid w:val="0000601B"/>
    <w:rsid w:val="000060B6"/>
    <w:rsid w:val="000061E5"/>
    <w:rsid w:val="000063F5"/>
    <w:rsid w:val="0000658C"/>
    <w:rsid w:val="000067C0"/>
    <w:rsid w:val="0000687C"/>
    <w:rsid w:val="000068D4"/>
    <w:rsid w:val="00006922"/>
    <w:rsid w:val="00006A1C"/>
    <w:rsid w:val="00006A58"/>
    <w:rsid w:val="00007075"/>
    <w:rsid w:val="0000738B"/>
    <w:rsid w:val="00007582"/>
    <w:rsid w:val="000076C7"/>
    <w:rsid w:val="00007D9E"/>
    <w:rsid w:val="000101ED"/>
    <w:rsid w:val="0001059A"/>
    <w:rsid w:val="00010631"/>
    <w:rsid w:val="000108ED"/>
    <w:rsid w:val="00010A13"/>
    <w:rsid w:val="00010F1A"/>
    <w:rsid w:val="00011078"/>
    <w:rsid w:val="00011661"/>
    <w:rsid w:val="00011681"/>
    <w:rsid w:val="00011793"/>
    <w:rsid w:val="000119EB"/>
    <w:rsid w:val="00011CB9"/>
    <w:rsid w:val="00011DBD"/>
    <w:rsid w:val="00012197"/>
    <w:rsid w:val="0001221E"/>
    <w:rsid w:val="00012269"/>
    <w:rsid w:val="00012299"/>
    <w:rsid w:val="00012309"/>
    <w:rsid w:val="00012405"/>
    <w:rsid w:val="000124CB"/>
    <w:rsid w:val="0001255A"/>
    <w:rsid w:val="0001265A"/>
    <w:rsid w:val="000128C5"/>
    <w:rsid w:val="00012A0D"/>
    <w:rsid w:val="00012EDE"/>
    <w:rsid w:val="00012F72"/>
    <w:rsid w:val="000130B7"/>
    <w:rsid w:val="000131D1"/>
    <w:rsid w:val="00013377"/>
    <w:rsid w:val="0001340F"/>
    <w:rsid w:val="0001348F"/>
    <w:rsid w:val="00013843"/>
    <w:rsid w:val="0001385F"/>
    <w:rsid w:val="00013A22"/>
    <w:rsid w:val="00013B56"/>
    <w:rsid w:val="00013D7B"/>
    <w:rsid w:val="00013D8E"/>
    <w:rsid w:val="00013FF7"/>
    <w:rsid w:val="00014052"/>
    <w:rsid w:val="00014111"/>
    <w:rsid w:val="00014237"/>
    <w:rsid w:val="0001437B"/>
    <w:rsid w:val="0001438C"/>
    <w:rsid w:val="000143D6"/>
    <w:rsid w:val="00014672"/>
    <w:rsid w:val="000148DD"/>
    <w:rsid w:val="0001495F"/>
    <w:rsid w:val="0001498F"/>
    <w:rsid w:val="00014C64"/>
    <w:rsid w:val="00014C9F"/>
    <w:rsid w:val="00014ECB"/>
    <w:rsid w:val="00014F6B"/>
    <w:rsid w:val="0001514C"/>
    <w:rsid w:val="00015332"/>
    <w:rsid w:val="000154D9"/>
    <w:rsid w:val="000155EA"/>
    <w:rsid w:val="0001567A"/>
    <w:rsid w:val="000156D7"/>
    <w:rsid w:val="00015803"/>
    <w:rsid w:val="00015A9D"/>
    <w:rsid w:val="00015BA7"/>
    <w:rsid w:val="00015D44"/>
    <w:rsid w:val="00016117"/>
    <w:rsid w:val="00016198"/>
    <w:rsid w:val="00016A1A"/>
    <w:rsid w:val="00016B3C"/>
    <w:rsid w:val="000172F4"/>
    <w:rsid w:val="0001738F"/>
    <w:rsid w:val="000173D0"/>
    <w:rsid w:val="00017DE4"/>
    <w:rsid w:val="00017E86"/>
    <w:rsid w:val="00020274"/>
    <w:rsid w:val="0002038C"/>
    <w:rsid w:val="0002047D"/>
    <w:rsid w:val="00020525"/>
    <w:rsid w:val="00020583"/>
    <w:rsid w:val="000205A3"/>
    <w:rsid w:val="000206C6"/>
    <w:rsid w:val="00020A0C"/>
    <w:rsid w:val="00020B36"/>
    <w:rsid w:val="00020C4B"/>
    <w:rsid w:val="00020F60"/>
    <w:rsid w:val="00021191"/>
    <w:rsid w:val="00021258"/>
    <w:rsid w:val="0002127F"/>
    <w:rsid w:val="000216F6"/>
    <w:rsid w:val="000217D0"/>
    <w:rsid w:val="00021813"/>
    <w:rsid w:val="00021D53"/>
    <w:rsid w:val="00021E07"/>
    <w:rsid w:val="00021E4A"/>
    <w:rsid w:val="00021F83"/>
    <w:rsid w:val="000222D3"/>
    <w:rsid w:val="000222FC"/>
    <w:rsid w:val="00022313"/>
    <w:rsid w:val="00022316"/>
    <w:rsid w:val="000223CE"/>
    <w:rsid w:val="000223D4"/>
    <w:rsid w:val="0002283D"/>
    <w:rsid w:val="00022915"/>
    <w:rsid w:val="00022A96"/>
    <w:rsid w:val="0002306E"/>
    <w:rsid w:val="000230F2"/>
    <w:rsid w:val="000232C8"/>
    <w:rsid w:val="0002338D"/>
    <w:rsid w:val="0002352B"/>
    <w:rsid w:val="000235AE"/>
    <w:rsid w:val="00023688"/>
    <w:rsid w:val="000237ED"/>
    <w:rsid w:val="00023C5B"/>
    <w:rsid w:val="00023D89"/>
    <w:rsid w:val="00023DA1"/>
    <w:rsid w:val="00023E4C"/>
    <w:rsid w:val="00023EAD"/>
    <w:rsid w:val="00024097"/>
    <w:rsid w:val="000244E0"/>
    <w:rsid w:val="00024528"/>
    <w:rsid w:val="0002458A"/>
    <w:rsid w:val="00024743"/>
    <w:rsid w:val="00024821"/>
    <w:rsid w:val="0002482F"/>
    <w:rsid w:val="0002535D"/>
    <w:rsid w:val="00025513"/>
    <w:rsid w:val="0002592B"/>
    <w:rsid w:val="00025B37"/>
    <w:rsid w:val="00025DF9"/>
    <w:rsid w:val="00025E51"/>
    <w:rsid w:val="00025EDF"/>
    <w:rsid w:val="000265AE"/>
    <w:rsid w:val="00026EA3"/>
    <w:rsid w:val="00026F9D"/>
    <w:rsid w:val="00027045"/>
    <w:rsid w:val="00027318"/>
    <w:rsid w:val="00027772"/>
    <w:rsid w:val="00027841"/>
    <w:rsid w:val="00027E55"/>
    <w:rsid w:val="000301DF"/>
    <w:rsid w:val="00030279"/>
    <w:rsid w:val="000305BE"/>
    <w:rsid w:val="000306A8"/>
    <w:rsid w:val="00030760"/>
    <w:rsid w:val="000308A3"/>
    <w:rsid w:val="00030AD7"/>
    <w:rsid w:val="00030C7D"/>
    <w:rsid w:val="000310DB"/>
    <w:rsid w:val="0003115D"/>
    <w:rsid w:val="000311C3"/>
    <w:rsid w:val="00031240"/>
    <w:rsid w:val="00031572"/>
    <w:rsid w:val="00031602"/>
    <w:rsid w:val="0003183D"/>
    <w:rsid w:val="00031B64"/>
    <w:rsid w:val="00031BB7"/>
    <w:rsid w:val="00031DF3"/>
    <w:rsid w:val="00031EE3"/>
    <w:rsid w:val="00032023"/>
    <w:rsid w:val="00032060"/>
    <w:rsid w:val="0003231A"/>
    <w:rsid w:val="000324F1"/>
    <w:rsid w:val="0003251C"/>
    <w:rsid w:val="0003255B"/>
    <w:rsid w:val="00032585"/>
    <w:rsid w:val="000325D0"/>
    <w:rsid w:val="00032805"/>
    <w:rsid w:val="0003287E"/>
    <w:rsid w:val="00032939"/>
    <w:rsid w:val="000329E7"/>
    <w:rsid w:val="00032ADB"/>
    <w:rsid w:val="00032C6B"/>
    <w:rsid w:val="0003302F"/>
    <w:rsid w:val="0003339B"/>
    <w:rsid w:val="000333E1"/>
    <w:rsid w:val="000336EC"/>
    <w:rsid w:val="00033934"/>
    <w:rsid w:val="00033DF0"/>
    <w:rsid w:val="00033EC7"/>
    <w:rsid w:val="00033F52"/>
    <w:rsid w:val="00033FB9"/>
    <w:rsid w:val="0003451F"/>
    <w:rsid w:val="000347C4"/>
    <w:rsid w:val="00034ADA"/>
    <w:rsid w:val="00034C67"/>
    <w:rsid w:val="00034E54"/>
    <w:rsid w:val="00035025"/>
    <w:rsid w:val="0003505C"/>
    <w:rsid w:val="00035171"/>
    <w:rsid w:val="0003523C"/>
    <w:rsid w:val="000355BA"/>
    <w:rsid w:val="00035784"/>
    <w:rsid w:val="000359C0"/>
    <w:rsid w:val="00035E7D"/>
    <w:rsid w:val="00035F31"/>
    <w:rsid w:val="0003642A"/>
    <w:rsid w:val="000364CA"/>
    <w:rsid w:val="000364CF"/>
    <w:rsid w:val="00036552"/>
    <w:rsid w:val="00036628"/>
    <w:rsid w:val="000366C7"/>
    <w:rsid w:val="00036869"/>
    <w:rsid w:val="00036894"/>
    <w:rsid w:val="000368A9"/>
    <w:rsid w:val="00036D6A"/>
    <w:rsid w:val="00036E76"/>
    <w:rsid w:val="00036F99"/>
    <w:rsid w:val="00037421"/>
    <w:rsid w:val="000375D9"/>
    <w:rsid w:val="00037995"/>
    <w:rsid w:val="00037A64"/>
    <w:rsid w:val="00037D5E"/>
    <w:rsid w:val="00037E71"/>
    <w:rsid w:val="00037E8F"/>
    <w:rsid w:val="00037F19"/>
    <w:rsid w:val="0004012C"/>
    <w:rsid w:val="00040168"/>
    <w:rsid w:val="00040357"/>
    <w:rsid w:val="0004046E"/>
    <w:rsid w:val="00040531"/>
    <w:rsid w:val="00040BDF"/>
    <w:rsid w:val="00040C70"/>
    <w:rsid w:val="00040C72"/>
    <w:rsid w:val="00040C80"/>
    <w:rsid w:val="00040FF0"/>
    <w:rsid w:val="0004128E"/>
    <w:rsid w:val="000412DA"/>
    <w:rsid w:val="00041341"/>
    <w:rsid w:val="000414F2"/>
    <w:rsid w:val="00041556"/>
    <w:rsid w:val="000417C1"/>
    <w:rsid w:val="000418A1"/>
    <w:rsid w:val="00041939"/>
    <w:rsid w:val="0004197C"/>
    <w:rsid w:val="000419F0"/>
    <w:rsid w:val="00041A7A"/>
    <w:rsid w:val="00041B69"/>
    <w:rsid w:val="000421CC"/>
    <w:rsid w:val="000423B5"/>
    <w:rsid w:val="000424E6"/>
    <w:rsid w:val="000424EC"/>
    <w:rsid w:val="000425B1"/>
    <w:rsid w:val="000425C2"/>
    <w:rsid w:val="00042603"/>
    <w:rsid w:val="00042615"/>
    <w:rsid w:val="00042653"/>
    <w:rsid w:val="00042826"/>
    <w:rsid w:val="0004298A"/>
    <w:rsid w:val="00042E39"/>
    <w:rsid w:val="00042E56"/>
    <w:rsid w:val="00042F79"/>
    <w:rsid w:val="000430A4"/>
    <w:rsid w:val="0004326A"/>
    <w:rsid w:val="000432DD"/>
    <w:rsid w:val="000434FA"/>
    <w:rsid w:val="000435E7"/>
    <w:rsid w:val="00043733"/>
    <w:rsid w:val="000437BC"/>
    <w:rsid w:val="00043867"/>
    <w:rsid w:val="0004390C"/>
    <w:rsid w:val="000439C6"/>
    <w:rsid w:val="00043C42"/>
    <w:rsid w:val="00043DD4"/>
    <w:rsid w:val="00043E0E"/>
    <w:rsid w:val="00043EF6"/>
    <w:rsid w:val="00044007"/>
    <w:rsid w:val="000441AB"/>
    <w:rsid w:val="00044201"/>
    <w:rsid w:val="0004459D"/>
    <w:rsid w:val="000449A8"/>
    <w:rsid w:val="000449EE"/>
    <w:rsid w:val="00044DC5"/>
    <w:rsid w:val="00044E39"/>
    <w:rsid w:val="00044E9B"/>
    <w:rsid w:val="00044EE4"/>
    <w:rsid w:val="00044EF2"/>
    <w:rsid w:val="00044FEB"/>
    <w:rsid w:val="00045096"/>
    <w:rsid w:val="00045100"/>
    <w:rsid w:val="00045144"/>
    <w:rsid w:val="000456C4"/>
    <w:rsid w:val="00045707"/>
    <w:rsid w:val="00045855"/>
    <w:rsid w:val="00045AAF"/>
    <w:rsid w:val="000461BD"/>
    <w:rsid w:val="0004629D"/>
    <w:rsid w:val="00046632"/>
    <w:rsid w:val="0004681A"/>
    <w:rsid w:val="00046A96"/>
    <w:rsid w:val="00046C7B"/>
    <w:rsid w:val="00046D04"/>
    <w:rsid w:val="00046D2A"/>
    <w:rsid w:val="00046E4D"/>
    <w:rsid w:val="00046EBB"/>
    <w:rsid w:val="00046EF4"/>
    <w:rsid w:val="00046FA7"/>
    <w:rsid w:val="00047261"/>
    <w:rsid w:val="000472CC"/>
    <w:rsid w:val="000472E6"/>
    <w:rsid w:val="000478C5"/>
    <w:rsid w:val="00047973"/>
    <w:rsid w:val="00047997"/>
    <w:rsid w:val="00047C77"/>
    <w:rsid w:val="00047D74"/>
    <w:rsid w:val="0005007D"/>
    <w:rsid w:val="000500BF"/>
    <w:rsid w:val="000502AC"/>
    <w:rsid w:val="000505A5"/>
    <w:rsid w:val="000505F7"/>
    <w:rsid w:val="000507AB"/>
    <w:rsid w:val="00050D0C"/>
    <w:rsid w:val="00050F52"/>
    <w:rsid w:val="00050FDB"/>
    <w:rsid w:val="00051364"/>
    <w:rsid w:val="000514A3"/>
    <w:rsid w:val="000514E1"/>
    <w:rsid w:val="00051609"/>
    <w:rsid w:val="000518DB"/>
    <w:rsid w:val="0005191D"/>
    <w:rsid w:val="000519D5"/>
    <w:rsid w:val="00051A3A"/>
    <w:rsid w:val="00051A51"/>
    <w:rsid w:val="00051B63"/>
    <w:rsid w:val="00051D24"/>
    <w:rsid w:val="00051D4D"/>
    <w:rsid w:val="00051F9C"/>
    <w:rsid w:val="00052058"/>
    <w:rsid w:val="00052315"/>
    <w:rsid w:val="0005239A"/>
    <w:rsid w:val="000523EA"/>
    <w:rsid w:val="000524C1"/>
    <w:rsid w:val="00052577"/>
    <w:rsid w:val="000525A8"/>
    <w:rsid w:val="00052BD4"/>
    <w:rsid w:val="00052D7E"/>
    <w:rsid w:val="00052DE6"/>
    <w:rsid w:val="00052EA1"/>
    <w:rsid w:val="000530F2"/>
    <w:rsid w:val="000539B7"/>
    <w:rsid w:val="00053AC0"/>
    <w:rsid w:val="0005401E"/>
    <w:rsid w:val="0005440C"/>
    <w:rsid w:val="00054646"/>
    <w:rsid w:val="00054726"/>
    <w:rsid w:val="00054954"/>
    <w:rsid w:val="00054989"/>
    <w:rsid w:val="00054A12"/>
    <w:rsid w:val="0005505B"/>
    <w:rsid w:val="000552AF"/>
    <w:rsid w:val="00055373"/>
    <w:rsid w:val="0005565C"/>
    <w:rsid w:val="000556B9"/>
    <w:rsid w:val="000559A6"/>
    <w:rsid w:val="000559EE"/>
    <w:rsid w:val="000564CE"/>
    <w:rsid w:val="00056593"/>
    <w:rsid w:val="000568B2"/>
    <w:rsid w:val="00056A8D"/>
    <w:rsid w:val="00056CDB"/>
    <w:rsid w:val="000571BA"/>
    <w:rsid w:val="0005730B"/>
    <w:rsid w:val="00057458"/>
    <w:rsid w:val="00057919"/>
    <w:rsid w:val="00057E50"/>
    <w:rsid w:val="00057F10"/>
    <w:rsid w:val="00060033"/>
    <w:rsid w:val="00060251"/>
    <w:rsid w:val="0006031D"/>
    <w:rsid w:val="00060346"/>
    <w:rsid w:val="00060555"/>
    <w:rsid w:val="00060626"/>
    <w:rsid w:val="00060673"/>
    <w:rsid w:val="000606B9"/>
    <w:rsid w:val="000606D1"/>
    <w:rsid w:val="00060A38"/>
    <w:rsid w:val="00060AB9"/>
    <w:rsid w:val="00060C97"/>
    <w:rsid w:val="00060D80"/>
    <w:rsid w:val="00061234"/>
    <w:rsid w:val="000612C9"/>
    <w:rsid w:val="0006141B"/>
    <w:rsid w:val="00061493"/>
    <w:rsid w:val="000616A1"/>
    <w:rsid w:val="000617C3"/>
    <w:rsid w:val="00061A42"/>
    <w:rsid w:val="00061A95"/>
    <w:rsid w:val="00061AF2"/>
    <w:rsid w:val="00061FBC"/>
    <w:rsid w:val="0006201E"/>
    <w:rsid w:val="000620C5"/>
    <w:rsid w:val="00062645"/>
    <w:rsid w:val="00062942"/>
    <w:rsid w:val="00062A85"/>
    <w:rsid w:val="00062CCF"/>
    <w:rsid w:val="00062D76"/>
    <w:rsid w:val="00062F12"/>
    <w:rsid w:val="0006322F"/>
    <w:rsid w:val="00063400"/>
    <w:rsid w:val="00063808"/>
    <w:rsid w:val="00063837"/>
    <w:rsid w:val="00063982"/>
    <w:rsid w:val="00063D4F"/>
    <w:rsid w:val="00063F4A"/>
    <w:rsid w:val="00063FA5"/>
    <w:rsid w:val="0006426E"/>
    <w:rsid w:val="0006481F"/>
    <w:rsid w:val="00064C25"/>
    <w:rsid w:val="00064D50"/>
    <w:rsid w:val="00064FA9"/>
    <w:rsid w:val="00065098"/>
    <w:rsid w:val="000650D4"/>
    <w:rsid w:val="00065174"/>
    <w:rsid w:val="00065354"/>
    <w:rsid w:val="00065864"/>
    <w:rsid w:val="00065883"/>
    <w:rsid w:val="00065CC3"/>
    <w:rsid w:val="00066025"/>
    <w:rsid w:val="00066176"/>
    <w:rsid w:val="00066446"/>
    <w:rsid w:val="00066B16"/>
    <w:rsid w:val="00066B92"/>
    <w:rsid w:val="00066BEA"/>
    <w:rsid w:val="00066E1D"/>
    <w:rsid w:val="000673B9"/>
    <w:rsid w:val="00067539"/>
    <w:rsid w:val="00067909"/>
    <w:rsid w:val="00067AFB"/>
    <w:rsid w:val="00067BC4"/>
    <w:rsid w:val="00067D49"/>
    <w:rsid w:val="00067FD5"/>
    <w:rsid w:val="00070186"/>
    <w:rsid w:val="000702E2"/>
    <w:rsid w:val="00070302"/>
    <w:rsid w:val="00070382"/>
    <w:rsid w:val="000705B0"/>
    <w:rsid w:val="00070699"/>
    <w:rsid w:val="000706C1"/>
    <w:rsid w:val="00070B13"/>
    <w:rsid w:val="00070C82"/>
    <w:rsid w:val="00070D8D"/>
    <w:rsid w:val="00070E93"/>
    <w:rsid w:val="00070FDD"/>
    <w:rsid w:val="0007157F"/>
    <w:rsid w:val="00071643"/>
    <w:rsid w:val="00071738"/>
    <w:rsid w:val="00071B65"/>
    <w:rsid w:val="000721DB"/>
    <w:rsid w:val="00072364"/>
    <w:rsid w:val="000723C4"/>
    <w:rsid w:val="000723E5"/>
    <w:rsid w:val="00072602"/>
    <w:rsid w:val="00072656"/>
    <w:rsid w:val="00072733"/>
    <w:rsid w:val="00072949"/>
    <w:rsid w:val="00072ABB"/>
    <w:rsid w:val="00072C14"/>
    <w:rsid w:val="00072FBD"/>
    <w:rsid w:val="00073077"/>
    <w:rsid w:val="000732F6"/>
    <w:rsid w:val="00073304"/>
    <w:rsid w:val="00073467"/>
    <w:rsid w:val="00073552"/>
    <w:rsid w:val="00073652"/>
    <w:rsid w:val="000736D6"/>
    <w:rsid w:val="00073DFD"/>
    <w:rsid w:val="00073F14"/>
    <w:rsid w:val="00073F6C"/>
    <w:rsid w:val="000740E6"/>
    <w:rsid w:val="00074380"/>
    <w:rsid w:val="00074614"/>
    <w:rsid w:val="000746FD"/>
    <w:rsid w:val="000748E5"/>
    <w:rsid w:val="00074AEE"/>
    <w:rsid w:val="00074B07"/>
    <w:rsid w:val="000751DE"/>
    <w:rsid w:val="00075431"/>
    <w:rsid w:val="000756E3"/>
    <w:rsid w:val="00075D8B"/>
    <w:rsid w:val="00075E74"/>
    <w:rsid w:val="000760B9"/>
    <w:rsid w:val="0007628F"/>
    <w:rsid w:val="00076326"/>
    <w:rsid w:val="00076858"/>
    <w:rsid w:val="00076C96"/>
    <w:rsid w:val="00076F6B"/>
    <w:rsid w:val="00076F94"/>
    <w:rsid w:val="0007738D"/>
    <w:rsid w:val="00077710"/>
    <w:rsid w:val="00077790"/>
    <w:rsid w:val="000777A7"/>
    <w:rsid w:val="00077852"/>
    <w:rsid w:val="00077861"/>
    <w:rsid w:val="00077B62"/>
    <w:rsid w:val="00077C3F"/>
    <w:rsid w:val="00077CAA"/>
    <w:rsid w:val="00077E67"/>
    <w:rsid w:val="0007C78F"/>
    <w:rsid w:val="00080097"/>
    <w:rsid w:val="00080318"/>
    <w:rsid w:val="0008034D"/>
    <w:rsid w:val="00080685"/>
    <w:rsid w:val="00080703"/>
    <w:rsid w:val="00080B88"/>
    <w:rsid w:val="00080BE4"/>
    <w:rsid w:val="00080C2A"/>
    <w:rsid w:val="00080DEB"/>
    <w:rsid w:val="00080EA7"/>
    <w:rsid w:val="00080F16"/>
    <w:rsid w:val="00081073"/>
    <w:rsid w:val="000815CC"/>
    <w:rsid w:val="00081A30"/>
    <w:rsid w:val="00081BED"/>
    <w:rsid w:val="00081C92"/>
    <w:rsid w:val="00081D13"/>
    <w:rsid w:val="00081DA1"/>
    <w:rsid w:val="00081FC3"/>
    <w:rsid w:val="00082020"/>
    <w:rsid w:val="000821EC"/>
    <w:rsid w:val="000826D7"/>
    <w:rsid w:val="00082790"/>
    <w:rsid w:val="000828E0"/>
    <w:rsid w:val="00082DC7"/>
    <w:rsid w:val="00083203"/>
    <w:rsid w:val="000833B0"/>
    <w:rsid w:val="00083465"/>
    <w:rsid w:val="000834A3"/>
    <w:rsid w:val="00083549"/>
    <w:rsid w:val="00083557"/>
    <w:rsid w:val="0008381F"/>
    <w:rsid w:val="00083976"/>
    <w:rsid w:val="00083B0D"/>
    <w:rsid w:val="00083C82"/>
    <w:rsid w:val="00083D14"/>
    <w:rsid w:val="00083DB9"/>
    <w:rsid w:val="000840CF"/>
    <w:rsid w:val="000841D3"/>
    <w:rsid w:val="000841E0"/>
    <w:rsid w:val="00084672"/>
    <w:rsid w:val="000846DC"/>
    <w:rsid w:val="0008474E"/>
    <w:rsid w:val="00084870"/>
    <w:rsid w:val="0008493F"/>
    <w:rsid w:val="00084B06"/>
    <w:rsid w:val="00084D8F"/>
    <w:rsid w:val="00084DCC"/>
    <w:rsid w:val="00085642"/>
    <w:rsid w:val="000856FE"/>
    <w:rsid w:val="00085746"/>
    <w:rsid w:val="00085A11"/>
    <w:rsid w:val="00085AD5"/>
    <w:rsid w:val="00085C83"/>
    <w:rsid w:val="00085CB0"/>
    <w:rsid w:val="00085F94"/>
    <w:rsid w:val="000861D1"/>
    <w:rsid w:val="000863D2"/>
    <w:rsid w:val="0008656B"/>
    <w:rsid w:val="00086BC6"/>
    <w:rsid w:val="00086E4E"/>
    <w:rsid w:val="000873A6"/>
    <w:rsid w:val="000874DD"/>
    <w:rsid w:val="000874E9"/>
    <w:rsid w:val="00087514"/>
    <w:rsid w:val="0008755E"/>
    <w:rsid w:val="00087574"/>
    <w:rsid w:val="0008758B"/>
    <w:rsid w:val="000875CF"/>
    <w:rsid w:val="00087622"/>
    <w:rsid w:val="000876FE"/>
    <w:rsid w:val="00087731"/>
    <w:rsid w:val="00087D37"/>
    <w:rsid w:val="0009000C"/>
    <w:rsid w:val="0009003A"/>
    <w:rsid w:val="0009008E"/>
    <w:rsid w:val="000903B5"/>
    <w:rsid w:val="000903FA"/>
    <w:rsid w:val="00090430"/>
    <w:rsid w:val="00090496"/>
    <w:rsid w:val="000905D6"/>
    <w:rsid w:val="000908F5"/>
    <w:rsid w:val="0009097C"/>
    <w:rsid w:val="00090C06"/>
    <w:rsid w:val="00090C13"/>
    <w:rsid w:val="00090F96"/>
    <w:rsid w:val="00091038"/>
    <w:rsid w:val="0009107D"/>
    <w:rsid w:val="000910D2"/>
    <w:rsid w:val="00091477"/>
    <w:rsid w:val="000915ED"/>
    <w:rsid w:val="000917EE"/>
    <w:rsid w:val="00091833"/>
    <w:rsid w:val="00091904"/>
    <w:rsid w:val="000919C5"/>
    <w:rsid w:val="00091AB0"/>
    <w:rsid w:val="00091AE2"/>
    <w:rsid w:val="00091C17"/>
    <w:rsid w:val="00091E59"/>
    <w:rsid w:val="000924E6"/>
    <w:rsid w:val="0009285D"/>
    <w:rsid w:val="00092AB2"/>
    <w:rsid w:val="00092DF9"/>
    <w:rsid w:val="00092EB6"/>
    <w:rsid w:val="000931BF"/>
    <w:rsid w:val="000931FE"/>
    <w:rsid w:val="00093344"/>
    <w:rsid w:val="0009342C"/>
    <w:rsid w:val="00093582"/>
    <w:rsid w:val="00093589"/>
    <w:rsid w:val="00093600"/>
    <w:rsid w:val="00093649"/>
    <w:rsid w:val="000936D5"/>
    <w:rsid w:val="0009375E"/>
    <w:rsid w:val="0009379F"/>
    <w:rsid w:val="00093891"/>
    <w:rsid w:val="00093B38"/>
    <w:rsid w:val="00093BEB"/>
    <w:rsid w:val="00093D9F"/>
    <w:rsid w:val="00093EF3"/>
    <w:rsid w:val="00094033"/>
    <w:rsid w:val="000941C0"/>
    <w:rsid w:val="000942FE"/>
    <w:rsid w:val="000948B7"/>
    <w:rsid w:val="00094986"/>
    <w:rsid w:val="00095217"/>
    <w:rsid w:val="000952EC"/>
    <w:rsid w:val="000955BD"/>
    <w:rsid w:val="0009573B"/>
    <w:rsid w:val="00095806"/>
    <w:rsid w:val="00095A2E"/>
    <w:rsid w:val="00095B9D"/>
    <w:rsid w:val="00095BBF"/>
    <w:rsid w:val="00095C47"/>
    <w:rsid w:val="00095CF9"/>
    <w:rsid w:val="00095D52"/>
    <w:rsid w:val="00095E0E"/>
    <w:rsid w:val="000960F1"/>
    <w:rsid w:val="00096359"/>
    <w:rsid w:val="0009655D"/>
    <w:rsid w:val="000966F5"/>
    <w:rsid w:val="00096917"/>
    <w:rsid w:val="00096CE2"/>
    <w:rsid w:val="0009722C"/>
    <w:rsid w:val="00097319"/>
    <w:rsid w:val="00097364"/>
    <w:rsid w:val="000973CF"/>
    <w:rsid w:val="0009759A"/>
    <w:rsid w:val="000976B4"/>
    <w:rsid w:val="00097713"/>
    <w:rsid w:val="0009776C"/>
    <w:rsid w:val="0009797E"/>
    <w:rsid w:val="000979EC"/>
    <w:rsid w:val="00097BDC"/>
    <w:rsid w:val="00097C04"/>
    <w:rsid w:val="00097C66"/>
    <w:rsid w:val="000A01B9"/>
    <w:rsid w:val="000A053A"/>
    <w:rsid w:val="000A09C0"/>
    <w:rsid w:val="000A0BFA"/>
    <w:rsid w:val="000A0D39"/>
    <w:rsid w:val="000A143B"/>
    <w:rsid w:val="000A1572"/>
    <w:rsid w:val="000A187A"/>
    <w:rsid w:val="000A198B"/>
    <w:rsid w:val="000A1AC0"/>
    <w:rsid w:val="000A1E36"/>
    <w:rsid w:val="000A210E"/>
    <w:rsid w:val="000A2351"/>
    <w:rsid w:val="000A24F6"/>
    <w:rsid w:val="000A253B"/>
    <w:rsid w:val="000A2849"/>
    <w:rsid w:val="000A2AEA"/>
    <w:rsid w:val="000A2CC3"/>
    <w:rsid w:val="000A2D9F"/>
    <w:rsid w:val="000A3215"/>
    <w:rsid w:val="000A3317"/>
    <w:rsid w:val="000A3319"/>
    <w:rsid w:val="000A362E"/>
    <w:rsid w:val="000A36BD"/>
    <w:rsid w:val="000A37AF"/>
    <w:rsid w:val="000A37E1"/>
    <w:rsid w:val="000A391A"/>
    <w:rsid w:val="000A3940"/>
    <w:rsid w:val="000A3C6F"/>
    <w:rsid w:val="000A3DD2"/>
    <w:rsid w:val="000A3E7E"/>
    <w:rsid w:val="000A429F"/>
    <w:rsid w:val="000A46F6"/>
    <w:rsid w:val="000A4835"/>
    <w:rsid w:val="000A496A"/>
    <w:rsid w:val="000A4E3D"/>
    <w:rsid w:val="000A53D0"/>
    <w:rsid w:val="000A53E3"/>
    <w:rsid w:val="000A5577"/>
    <w:rsid w:val="000A5735"/>
    <w:rsid w:val="000A574D"/>
    <w:rsid w:val="000A579E"/>
    <w:rsid w:val="000A57AC"/>
    <w:rsid w:val="000A57F0"/>
    <w:rsid w:val="000A59D9"/>
    <w:rsid w:val="000A5A49"/>
    <w:rsid w:val="000A5D6B"/>
    <w:rsid w:val="000A5E1F"/>
    <w:rsid w:val="000A5E84"/>
    <w:rsid w:val="000A5F4A"/>
    <w:rsid w:val="000A6045"/>
    <w:rsid w:val="000A618F"/>
    <w:rsid w:val="000A6310"/>
    <w:rsid w:val="000A63EA"/>
    <w:rsid w:val="000A662C"/>
    <w:rsid w:val="000A66F7"/>
    <w:rsid w:val="000A682B"/>
    <w:rsid w:val="000A68F3"/>
    <w:rsid w:val="000A6B13"/>
    <w:rsid w:val="000A6FF0"/>
    <w:rsid w:val="000A70FE"/>
    <w:rsid w:val="000A72D3"/>
    <w:rsid w:val="000A742B"/>
    <w:rsid w:val="000A7548"/>
    <w:rsid w:val="000A7B66"/>
    <w:rsid w:val="000A7BDB"/>
    <w:rsid w:val="000A7BE0"/>
    <w:rsid w:val="000A7E1F"/>
    <w:rsid w:val="000A7EFD"/>
    <w:rsid w:val="000A7FB0"/>
    <w:rsid w:val="000B0151"/>
    <w:rsid w:val="000B05E1"/>
    <w:rsid w:val="000B063D"/>
    <w:rsid w:val="000B08BE"/>
    <w:rsid w:val="000B0904"/>
    <w:rsid w:val="000B0AB0"/>
    <w:rsid w:val="000B0BE4"/>
    <w:rsid w:val="000B0CAD"/>
    <w:rsid w:val="000B0F38"/>
    <w:rsid w:val="000B114D"/>
    <w:rsid w:val="000B1154"/>
    <w:rsid w:val="000B133B"/>
    <w:rsid w:val="000B14A0"/>
    <w:rsid w:val="000B15FD"/>
    <w:rsid w:val="000B1832"/>
    <w:rsid w:val="000B1EFE"/>
    <w:rsid w:val="000B20FB"/>
    <w:rsid w:val="000B21A5"/>
    <w:rsid w:val="000B21B7"/>
    <w:rsid w:val="000B28E1"/>
    <w:rsid w:val="000B2AB9"/>
    <w:rsid w:val="000B2AC0"/>
    <w:rsid w:val="000B2B68"/>
    <w:rsid w:val="000B2BD6"/>
    <w:rsid w:val="000B2CEC"/>
    <w:rsid w:val="000B2D8F"/>
    <w:rsid w:val="000B2EFA"/>
    <w:rsid w:val="000B2F19"/>
    <w:rsid w:val="000B3079"/>
    <w:rsid w:val="000B3566"/>
    <w:rsid w:val="000B35F8"/>
    <w:rsid w:val="000B3945"/>
    <w:rsid w:val="000B3946"/>
    <w:rsid w:val="000B39D0"/>
    <w:rsid w:val="000B3A81"/>
    <w:rsid w:val="000B3E44"/>
    <w:rsid w:val="000B3FB1"/>
    <w:rsid w:val="000B4247"/>
    <w:rsid w:val="000B44B4"/>
    <w:rsid w:val="000B4515"/>
    <w:rsid w:val="000B46F6"/>
    <w:rsid w:val="000B46FF"/>
    <w:rsid w:val="000B48DE"/>
    <w:rsid w:val="000B505A"/>
    <w:rsid w:val="000B521E"/>
    <w:rsid w:val="000B5333"/>
    <w:rsid w:val="000B571E"/>
    <w:rsid w:val="000B5A24"/>
    <w:rsid w:val="000B5C95"/>
    <w:rsid w:val="000B5FDA"/>
    <w:rsid w:val="000B6035"/>
    <w:rsid w:val="000B60D4"/>
    <w:rsid w:val="000B6468"/>
    <w:rsid w:val="000B65C2"/>
    <w:rsid w:val="000B65C7"/>
    <w:rsid w:val="000B66E9"/>
    <w:rsid w:val="000B6BD1"/>
    <w:rsid w:val="000B6FD1"/>
    <w:rsid w:val="000B703E"/>
    <w:rsid w:val="000B72C1"/>
    <w:rsid w:val="000B757C"/>
    <w:rsid w:val="000B7612"/>
    <w:rsid w:val="000B765A"/>
    <w:rsid w:val="000B7753"/>
    <w:rsid w:val="000B7A9C"/>
    <w:rsid w:val="000B7BD1"/>
    <w:rsid w:val="000B7D36"/>
    <w:rsid w:val="000B7D90"/>
    <w:rsid w:val="000C00EA"/>
    <w:rsid w:val="000C0219"/>
    <w:rsid w:val="000C0661"/>
    <w:rsid w:val="000C0893"/>
    <w:rsid w:val="000C0B5E"/>
    <w:rsid w:val="000C0BA9"/>
    <w:rsid w:val="000C0CEE"/>
    <w:rsid w:val="000C0DEA"/>
    <w:rsid w:val="000C121C"/>
    <w:rsid w:val="000C1241"/>
    <w:rsid w:val="000C1668"/>
    <w:rsid w:val="000C17DE"/>
    <w:rsid w:val="000C19D4"/>
    <w:rsid w:val="000C1F86"/>
    <w:rsid w:val="000C2061"/>
    <w:rsid w:val="000C2074"/>
    <w:rsid w:val="000C2090"/>
    <w:rsid w:val="000C20A9"/>
    <w:rsid w:val="000C21AC"/>
    <w:rsid w:val="000C22C2"/>
    <w:rsid w:val="000C27F8"/>
    <w:rsid w:val="000C2812"/>
    <w:rsid w:val="000C2996"/>
    <w:rsid w:val="000C2C59"/>
    <w:rsid w:val="000C2EB3"/>
    <w:rsid w:val="000C3091"/>
    <w:rsid w:val="000C312E"/>
    <w:rsid w:val="000C3364"/>
    <w:rsid w:val="000C33DE"/>
    <w:rsid w:val="000C34AB"/>
    <w:rsid w:val="000C380D"/>
    <w:rsid w:val="000C389F"/>
    <w:rsid w:val="000C3B63"/>
    <w:rsid w:val="000C3DB5"/>
    <w:rsid w:val="000C3DF2"/>
    <w:rsid w:val="000C3DF8"/>
    <w:rsid w:val="000C3E00"/>
    <w:rsid w:val="000C3F2E"/>
    <w:rsid w:val="000C46A6"/>
    <w:rsid w:val="000C47B9"/>
    <w:rsid w:val="000C498F"/>
    <w:rsid w:val="000C4BEE"/>
    <w:rsid w:val="000C4D76"/>
    <w:rsid w:val="000C5006"/>
    <w:rsid w:val="000C51E0"/>
    <w:rsid w:val="000C52AF"/>
    <w:rsid w:val="000C53B0"/>
    <w:rsid w:val="000C53B1"/>
    <w:rsid w:val="000C5485"/>
    <w:rsid w:val="000C560C"/>
    <w:rsid w:val="000C5658"/>
    <w:rsid w:val="000C5AF1"/>
    <w:rsid w:val="000C5FF6"/>
    <w:rsid w:val="000C628E"/>
    <w:rsid w:val="000C640E"/>
    <w:rsid w:val="000C6444"/>
    <w:rsid w:val="000C66AE"/>
    <w:rsid w:val="000C7322"/>
    <w:rsid w:val="000C73E7"/>
    <w:rsid w:val="000C746F"/>
    <w:rsid w:val="000C7496"/>
    <w:rsid w:val="000C75D8"/>
    <w:rsid w:val="000C779B"/>
    <w:rsid w:val="000C77E0"/>
    <w:rsid w:val="000C7834"/>
    <w:rsid w:val="000C7958"/>
    <w:rsid w:val="000C798F"/>
    <w:rsid w:val="000C7C97"/>
    <w:rsid w:val="000C7F25"/>
    <w:rsid w:val="000D0042"/>
    <w:rsid w:val="000D0130"/>
    <w:rsid w:val="000D033A"/>
    <w:rsid w:val="000D096B"/>
    <w:rsid w:val="000D0990"/>
    <w:rsid w:val="000D0AEE"/>
    <w:rsid w:val="000D0AFB"/>
    <w:rsid w:val="000D0D40"/>
    <w:rsid w:val="000D0E7B"/>
    <w:rsid w:val="000D13EA"/>
    <w:rsid w:val="000D1436"/>
    <w:rsid w:val="000D146A"/>
    <w:rsid w:val="000D1473"/>
    <w:rsid w:val="000D16B6"/>
    <w:rsid w:val="000D1839"/>
    <w:rsid w:val="000D1B8C"/>
    <w:rsid w:val="000D1BEA"/>
    <w:rsid w:val="000D1DFE"/>
    <w:rsid w:val="000D1E64"/>
    <w:rsid w:val="000D2278"/>
    <w:rsid w:val="000D2314"/>
    <w:rsid w:val="000D240E"/>
    <w:rsid w:val="000D2622"/>
    <w:rsid w:val="000D2664"/>
    <w:rsid w:val="000D29A0"/>
    <w:rsid w:val="000D2BE0"/>
    <w:rsid w:val="000D2CAA"/>
    <w:rsid w:val="000D2CEB"/>
    <w:rsid w:val="000D2EA3"/>
    <w:rsid w:val="000D2FF0"/>
    <w:rsid w:val="000D3182"/>
    <w:rsid w:val="000D3212"/>
    <w:rsid w:val="000D33E9"/>
    <w:rsid w:val="000D3534"/>
    <w:rsid w:val="000D36A9"/>
    <w:rsid w:val="000D371D"/>
    <w:rsid w:val="000D3ABB"/>
    <w:rsid w:val="000D3B84"/>
    <w:rsid w:val="000D3F86"/>
    <w:rsid w:val="000D4455"/>
    <w:rsid w:val="000D4BC6"/>
    <w:rsid w:val="000D4D11"/>
    <w:rsid w:val="000D4DF3"/>
    <w:rsid w:val="000D4E85"/>
    <w:rsid w:val="000D4EF5"/>
    <w:rsid w:val="000D57DA"/>
    <w:rsid w:val="000D5941"/>
    <w:rsid w:val="000D5E3A"/>
    <w:rsid w:val="000D5F0A"/>
    <w:rsid w:val="000D600D"/>
    <w:rsid w:val="000D61F9"/>
    <w:rsid w:val="000D6374"/>
    <w:rsid w:val="000D638B"/>
    <w:rsid w:val="000D639D"/>
    <w:rsid w:val="000D653A"/>
    <w:rsid w:val="000D662B"/>
    <w:rsid w:val="000D667E"/>
    <w:rsid w:val="000D679E"/>
    <w:rsid w:val="000D6834"/>
    <w:rsid w:val="000D6B8B"/>
    <w:rsid w:val="000D6BC8"/>
    <w:rsid w:val="000D720F"/>
    <w:rsid w:val="000D76E8"/>
    <w:rsid w:val="000D7921"/>
    <w:rsid w:val="000D7E77"/>
    <w:rsid w:val="000D7F5B"/>
    <w:rsid w:val="000E0277"/>
    <w:rsid w:val="000E02D2"/>
    <w:rsid w:val="000E037B"/>
    <w:rsid w:val="000E045C"/>
    <w:rsid w:val="000E049A"/>
    <w:rsid w:val="000E04E7"/>
    <w:rsid w:val="000E04EB"/>
    <w:rsid w:val="000E0539"/>
    <w:rsid w:val="000E09AD"/>
    <w:rsid w:val="000E0A4D"/>
    <w:rsid w:val="000E0CF6"/>
    <w:rsid w:val="000E0E8A"/>
    <w:rsid w:val="000E0F9F"/>
    <w:rsid w:val="000E1198"/>
    <w:rsid w:val="000E1605"/>
    <w:rsid w:val="000E17C1"/>
    <w:rsid w:val="000E17C6"/>
    <w:rsid w:val="000E194F"/>
    <w:rsid w:val="000E1DF2"/>
    <w:rsid w:val="000E1FE9"/>
    <w:rsid w:val="000E2224"/>
    <w:rsid w:val="000E2437"/>
    <w:rsid w:val="000E2BBD"/>
    <w:rsid w:val="000E301B"/>
    <w:rsid w:val="000E3287"/>
    <w:rsid w:val="000E3421"/>
    <w:rsid w:val="000E3697"/>
    <w:rsid w:val="000E39BC"/>
    <w:rsid w:val="000E3B4F"/>
    <w:rsid w:val="000E3CF8"/>
    <w:rsid w:val="000E3FA0"/>
    <w:rsid w:val="000E4187"/>
    <w:rsid w:val="000E41F6"/>
    <w:rsid w:val="000E423C"/>
    <w:rsid w:val="000E43CB"/>
    <w:rsid w:val="000E450C"/>
    <w:rsid w:val="000E45F4"/>
    <w:rsid w:val="000E46C0"/>
    <w:rsid w:val="000E47BE"/>
    <w:rsid w:val="000E5188"/>
    <w:rsid w:val="000E52C6"/>
    <w:rsid w:val="000E54EE"/>
    <w:rsid w:val="000E5853"/>
    <w:rsid w:val="000E5A3F"/>
    <w:rsid w:val="000E5F44"/>
    <w:rsid w:val="000E601C"/>
    <w:rsid w:val="000E605B"/>
    <w:rsid w:val="000E612C"/>
    <w:rsid w:val="000E62A1"/>
    <w:rsid w:val="000E63B3"/>
    <w:rsid w:val="000E6886"/>
    <w:rsid w:val="000E6A86"/>
    <w:rsid w:val="000E6DA5"/>
    <w:rsid w:val="000E72F0"/>
    <w:rsid w:val="000E7306"/>
    <w:rsid w:val="000E7498"/>
    <w:rsid w:val="000E7577"/>
    <w:rsid w:val="000E75D5"/>
    <w:rsid w:val="000E7739"/>
    <w:rsid w:val="000E79EF"/>
    <w:rsid w:val="000E7A31"/>
    <w:rsid w:val="000E7F5D"/>
    <w:rsid w:val="000F02BF"/>
    <w:rsid w:val="000F02F0"/>
    <w:rsid w:val="000F04D4"/>
    <w:rsid w:val="000F05CB"/>
    <w:rsid w:val="000F05DE"/>
    <w:rsid w:val="000F082A"/>
    <w:rsid w:val="000F083C"/>
    <w:rsid w:val="000F0AB2"/>
    <w:rsid w:val="000F0B69"/>
    <w:rsid w:val="000F0C97"/>
    <w:rsid w:val="000F103D"/>
    <w:rsid w:val="000F11C1"/>
    <w:rsid w:val="000F12DD"/>
    <w:rsid w:val="000F138F"/>
    <w:rsid w:val="000F14DE"/>
    <w:rsid w:val="000F1506"/>
    <w:rsid w:val="000F1CC2"/>
    <w:rsid w:val="000F280C"/>
    <w:rsid w:val="000F2D82"/>
    <w:rsid w:val="000F2E3F"/>
    <w:rsid w:val="000F3270"/>
    <w:rsid w:val="000F327F"/>
    <w:rsid w:val="000F3678"/>
    <w:rsid w:val="000F3790"/>
    <w:rsid w:val="000F39A9"/>
    <w:rsid w:val="000F3A1D"/>
    <w:rsid w:val="000F3B0A"/>
    <w:rsid w:val="000F3CE5"/>
    <w:rsid w:val="000F3E73"/>
    <w:rsid w:val="000F3FE8"/>
    <w:rsid w:val="000F442B"/>
    <w:rsid w:val="000F4685"/>
    <w:rsid w:val="000F4769"/>
    <w:rsid w:val="000F4822"/>
    <w:rsid w:val="000F48C7"/>
    <w:rsid w:val="000F4C3E"/>
    <w:rsid w:val="000F4EBE"/>
    <w:rsid w:val="000F4EEF"/>
    <w:rsid w:val="000F4EF4"/>
    <w:rsid w:val="000F506C"/>
    <w:rsid w:val="000F518C"/>
    <w:rsid w:val="000F531B"/>
    <w:rsid w:val="000F54BA"/>
    <w:rsid w:val="000F5A1A"/>
    <w:rsid w:val="000F5B28"/>
    <w:rsid w:val="000F5BAF"/>
    <w:rsid w:val="000F6297"/>
    <w:rsid w:val="000F62CF"/>
    <w:rsid w:val="000F640B"/>
    <w:rsid w:val="000F6553"/>
    <w:rsid w:val="000F6636"/>
    <w:rsid w:val="000F6733"/>
    <w:rsid w:val="000F674D"/>
    <w:rsid w:val="000F6836"/>
    <w:rsid w:val="000F6A46"/>
    <w:rsid w:val="000F6E5B"/>
    <w:rsid w:val="000F780C"/>
    <w:rsid w:val="000F79C3"/>
    <w:rsid w:val="000F79E1"/>
    <w:rsid w:val="000F7CDC"/>
    <w:rsid w:val="000F7E85"/>
    <w:rsid w:val="00100148"/>
    <w:rsid w:val="00100A38"/>
    <w:rsid w:val="00100B2B"/>
    <w:rsid w:val="00100B98"/>
    <w:rsid w:val="00100C59"/>
    <w:rsid w:val="00101094"/>
    <w:rsid w:val="0010129E"/>
    <w:rsid w:val="001012AE"/>
    <w:rsid w:val="001012CA"/>
    <w:rsid w:val="00101386"/>
    <w:rsid w:val="001013AD"/>
    <w:rsid w:val="001018CE"/>
    <w:rsid w:val="00101CD5"/>
    <w:rsid w:val="00101FFB"/>
    <w:rsid w:val="001020B5"/>
    <w:rsid w:val="00102287"/>
    <w:rsid w:val="001025A0"/>
    <w:rsid w:val="00102ACA"/>
    <w:rsid w:val="00102BE7"/>
    <w:rsid w:val="00102BF4"/>
    <w:rsid w:val="00102CB6"/>
    <w:rsid w:val="00102CF0"/>
    <w:rsid w:val="0010314C"/>
    <w:rsid w:val="0010344F"/>
    <w:rsid w:val="001036D0"/>
    <w:rsid w:val="0010398F"/>
    <w:rsid w:val="00103BD9"/>
    <w:rsid w:val="00103C67"/>
    <w:rsid w:val="00103F09"/>
    <w:rsid w:val="00103F4A"/>
    <w:rsid w:val="00104296"/>
    <w:rsid w:val="00104754"/>
    <w:rsid w:val="001047F6"/>
    <w:rsid w:val="001049C3"/>
    <w:rsid w:val="00104B34"/>
    <w:rsid w:val="00104BFB"/>
    <w:rsid w:val="00104C80"/>
    <w:rsid w:val="0010515D"/>
    <w:rsid w:val="00105396"/>
    <w:rsid w:val="001055C7"/>
    <w:rsid w:val="001058F1"/>
    <w:rsid w:val="00105A81"/>
    <w:rsid w:val="00105BC0"/>
    <w:rsid w:val="001060AF"/>
    <w:rsid w:val="001060FA"/>
    <w:rsid w:val="0010626E"/>
    <w:rsid w:val="00106354"/>
    <w:rsid w:val="001066A4"/>
    <w:rsid w:val="001068A4"/>
    <w:rsid w:val="00106C6E"/>
    <w:rsid w:val="0010706B"/>
    <w:rsid w:val="001070B9"/>
    <w:rsid w:val="00107106"/>
    <w:rsid w:val="001072CB"/>
    <w:rsid w:val="0010732C"/>
    <w:rsid w:val="001076DB"/>
    <w:rsid w:val="001076EA"/>
    <w:rsid w:val="001077B1"/>
    <w:rsid w:val="001078DB"/>
    <w:rsid w:val="00107AFE"/>
    <w:rsid w:val="00107D67"/>
    <w:rsid w:val="00107E89"/>
    <w:rsid w:val="00107F96"/>
    <w:rsid w:val="00110278"/>
    <w:rsid w:val="001106EE"/>
    <w:rsid w:val="00110723"/>
    <w:rsid w:val="00110A18"/>
    <w:rsid w:val="00110EEE"/>
    <w:rsid w:val="00110EF9"/>
    <w:rsid w:val="0011123B"/>
    <w:rsid w:val="00111428"/>
    <w:rsid w:val="0011152E"/>
    <w:rsid w:val="0011166C"/>
    <w:rsid w:val="001116D2"/>
    <w:rsid w:val="001118AC"/>
    <w:rsid w:val="00111BF9"/>
    <w:rsid w:val="00111CD7"/>
    <w:rsid w:val="001121FF"/>
    <w:rsid w:val="0011220D"/>
    <w:rsid w:val="001123A8"/>
    <w:rsid w:val="00112452"/>
    <w:rsid w:val="00112495"/>
    <w:rsid w:val="0011253A"/>
    <w:rsid w:val="00112776"/>
    <w:rsid w:val="0011277C"/>
    <w:rsid w:val="001127E3"/>
    <w:rsid w:val="00112929"/>
    <w:rsid w:val="00112BC3"/>
    <w:rsid w:val="00112C9C"/>
    <w:rsid w:val="00112F42"/>
    <w:rsid w:val="001132A3"/>
    <w:rsid w:val="00113390"/>
    <w:rsid w:val="0011339F"/>
    <w:rsid w:val="001135A9"/>
    <w:rsid w:val="00113616"/>
    <w:rsid w:val="0011391E"/>
    <w:rsid w:val="00113A25"/>
    <w:rsid w:val="00113B6A"/>
    <w:rsid w:val="00113D09"/>
    <w:rsid w:val="00113D2F"/>
    <w:rsid w:val="00113D43"/>
    <w:rsid w:val="001140DA"/>
    <w:rsid w:val="0011434E"/>
    <w:rsid w:val="001144E6"/>
    <w:rsid w:val="001146FC"/>
    <w:rsid w:val="00114845"/>
    <w:rsid w:val="001148B5"/>
    <w:rsid w:val="00114CC5"/>
    <w:rsid w:val="00114F3E"/>
    <w:rsid w:val="00115077"/>
    <w:rsid w:val="001151E6"/>
    <w:rsid w:val="00115438"/>
    <w:rsid w:val="001154CA"/>
    <w:rsid w:val="00115658"/>
    <w:rsid w:val="001157BD"/>
    <w:rsid w:val="00115886"/>
    <w:rsid w:val="0011591D"/>
    <w:rsid w:val="0011595B"/>
    <w:rsid w:val="00115D0B"/>
    <w:rsid w:val="00115EBA"/>
    <w:rsid w:val="00116257"/>
    <w:rsid w:val="00116432"/>
    <w:rsid w:val="0011677C"/>
    <w:rsid w:val="001169DC"/>
    <w:rsid w:val="00116CA5"/>
    <w:rsid w:val="00116D80"/>
    <w:rsid w:val="00116EED"/>
    <w:rsid w:val="001170B3"/>
    <w:rsid w:val="00117207"/>
    <w:rsid w:val="001172E5"/>
    <w:rsid w:val="001173C0"/>
    <w:rsid w:val="0011767F"/>
    <w:rsid w:val="001178FA"/>
    <w:rsid w:val="00117DB6"/>
    <w:rsid w:val="00117E9A"/>
    <w:rsid w:val="001201E0"/>
    <w:rsid w:val="001202BB"/>
    <w:rsid w:val="00120642"/>
    <w:rsid w:val="001206DD"/>
    <w:rsid w:val="00120E7A"/>
    <w:rsid w:val="00120F09"/>
    <w:rsid w:val="00121050"/>
    <w:rsid w:val="00121114"/>
    <w:rsid w:val="0012121C"/>
    <w:rsid w:val="00121326"/>
    <w:rsid w:val="001213B5"/>
    <w:rsid w:val="001215A1"/>
    <w:rsid w:val="00121690"/>
    <w:rsid w:val="001216EF"/>
    <w:rsid w:val="00121842"/>
    <w:rsid w:val="00121DB1"/>
    <w:rsid w:val="0012210B"/>
    <w:rsid w:val="00122212"/>
    <w:rsid w:val="001222D4"/>
    <w:rsid w:val="001223C7"/>
    <w:rsid w:val="001223C8"/>
    <w:rsid w:val="0012250A"/>
    <w:rsid w:val="00122815"/>
    <w:rsid w:val="00122856"/>
    <w:rsid w:val="00122BD8"/>
    <w:rsid w:val="00122C04"/>
    <w:rsid w:val="00122DDD"/>
    <w:rsid w:val="00123143"/>
    <w:rsid w:val="00123515"/>
    <w:rsid w:val="00123608"/>
    <w:rsid w:val="001238CD"/>
    <w:rsid w:val="00123BF9"/>
    <w:rsid w:val="00123F53"/>
    <w:rsid w:val="00124292"/>
    <w:rsid w:val="001242AB"/>
    <w:rsid w:val="001247B9"/>
    <w:rsid w:val="00124ADF"/>
    <w:rsid w:val="00125148"/>
    <w:rsid w:val="0012517E"/>
    <w:rsid w:val="001251C4"/>
    <w:rsid w:val="00125209"/>
    <w:rsid w:val="00125508"/>
    <w:rsid w:val="00125752"/>
    <w:rsid w:val="001258E8"/>
    <w:rsid w:val="00125A91"/>
    <w:rsid w:val="00125CAE"/>
    <w:rsid w:val="00125DA1"/>
    <w:rsid w:val="00125E2D"/>
    <w:rsid w:val="00126125"/>
    <w:rsid w:val="00126250"/>
    <w:rsid w:val="00126383"/>
    <w:rsid w:val="00126543"/>
    <w:rsid w:val="00126574"/>
    <w:rsid w:val="00126596"/>
    <w:rsid w:val="00126712"/>
    <w:rsid w:val="00126945"/>
    <w:rsid w:val="0012694F"/>
    <w:rsid w:val="00126965"/>
    <w:rsid w:val="00126CA2"/>
    <w:rsid w:val="00126CC6"/>
    <w:rsid w:val="00126D83"/>
    <w:rsid w:val="001273ED"/>
    <w:rsid w:val="0012751E"/>
    <w:rsid w:val="00127590"/>
    <w:rsid w:val="001279FA"/>
    <w:rsid w:val="00127AD2"/>
    <w:rsid w:val="00127C74"/>
    <w:rsid w:val="00127ED9"/>
    <w:rsid w:val="00127F54"/>
    <w:rsid w:val="00130178"/>
    <w:rsid w:val="001301DF"/>
    <w:rsid w:val="00130429"/>
    <w:rsid w:val="001307E8"/>
    <w:rsid w:val="00130E66"/>
    <w:rsid w:val="00130F3A"/>
    <w:rsid w:val="0013184C"/>
    <w:rsid w:val="00131A33"/>
    <w:rsid w:val="00131C36"/>
    <w:rsid w:val="00131C37"/>
    <w:rsid w:val="00131C7B"/>
    <w:rsid w:val="00131E2A"/>
    <w:rsid w:val="00131F9C"/>
    <w:rsid w:val="00132588"/>
    <w:rsid w:val="001325B2"/>
    <w:rsid w:val="001325C0"/>
    <w:rsid w:val="0013275B"/>
    <w:rsid w:val="001328CC"/>
    <w:rsid w:val="00132B30"/>
    <w:rsid w:val="00132E7C"/>
    <w:rsid w:val="00132EDB"/>
    <w:rsid w:val="00132FB2"/>
    <w:rsid w:val="001331CB"/>
    <w:rsid w:val="00133406"/>
    <w:rsid w:val="001334D1"/>
    <w:rsid w:val="001335C6"/>
    <w:rsid w:val="0013396D"/>
    <w:rsid w:val="00133D51"/>
    <w:rsid w:val="00133EB0"/>
    <w:rsid w:val="00134172"/>
    <w:rsid w:val="001344DA"/>
    <w:rsid w:val="00134674"/>
    <w:rsid w:val="001347C7"/>
    <w:rsid w:val="00134D70"/>
    <w:rsid w:val="0013507A"/>
    <w:rsid w:val="0013518E"/>
    <w:rsid w:val="00135248"/>
    <w:rsid w:val="0013535E"/>
    <w:rsid w:val="00135491"/>
    <w:rsid w:val="0013549A"/>
    <w:rsid w:val="0013584C"/>
    <w:rsid w:val="00135973"/>
    <w:rsid w:val="00135983"/>
    <w:rsid w:val="001359E6"/>
    <w:rsid w:val="00135C50"/>
    <w:rsid w:val="00136062"/>
    <w:rsid w:val="00136635"/>
    <w:rsid w:val="00136778"/>
    <w:rsid w:val="001367A9"/>
    <w:rsid w:val="0013690C"/>
    <w:rsid w:val="00136EA6"/>
    <w:rsid w:val="001371CE"/>
    <w:rsid w:val="00137350"/>
    <w:rsid w:val="0013758E"/>
    <w:rsid w:val="00137615"/>
    <w:rsid w:val="00137718"/>
    <w:rsid w:val="00137777"/>
    <w:rsid w:val="00137A1E"/>
    <w:rsid w:val="00137CB6"/>
    <w:rsid w:val="00137DF5"/>
    <w:rsid w:val="00137E91"/>
    <w:rsid w:val="00137F2F"/>
    <w:rsid w:val="00140219"/>
    <w:rsid w:val="0014079C"/>
    <w:rsid w:val="00140B23"/>
    <w:rsid w:val="00140C7C"/>
    <w:rsid w:val="00140C88"/>
    <w:rsid w:val="00140D6D"/>
    <w:rsid w:val="00140DCC"/>
    <w:rsid w:val="00141202"/>
    <w:rsid w:val="00141759"/>
    <w:rsid w:val="0014177A"/>
    <w:rsid w:val="0014179F"/>
    <w:rsid w:val="001418F0"/>
    <w:rsid w:val="00141C87"/>
    <w:rsid w:val="00141D11"/>
    <w:rsid w:val="00141D2C"/>
    <w:rsid w:val="00142112"/>
    <w:rsid w:val="001422C3"/>
    <w:rsid w:val="00142304"/>
    <w:rsid w:val="00142551"/>
    <w:rsid w:val="0014259B"/>
    <w:rsid w:val="001425A5"/>
    <w:rsid w:val="001426E3"/>
    <w:rsid w:val="00142943"/>
    <w:rsid w:val="001429AB"/>
    <w:rsid w:val="00142B3A"/>
    <w:rsid w:val="00142F64"/>
    <w:rsid w:val="00143454"/>
    <w:rsid w:val="001435E3"/>
    <w:rsid w:val="001436C4"/>
    <w:rsid w:val="001438A0"/>
    <w:rsid w:val="001438A7"/>
    <w:rsid w:val="001438B1"/>
    <w:rsid w:val="001438B4"/>
    <w:rsid w:val="001438BD"/>
    <w:rsid w:val="00143A02"/>
    <w:rsid w:val="00143F19"/>
    <w:rsid w:val="00143F6C"/>
    <w:rsid w:val="00143FF7"/>
    <w:rsid w:val="001440AD"/>
    <w:rsid w:val="00144513"/>
    <w:rsid w:val="0014451C"/>
    <w:rsid w:val="001447BA"/>
    <w:rsid w:val="00144871"/>
    <w:rsid w:val="0014498B"/>
    <w:rsid w:val="00144FB3"/>
    <w:rsid w:val="00145181"/>
    <w:rsid w:val="00145224"/>
    <w:rsid w:val="00145275"/>
    <w:rsid w:val="001452E2"/>
    <w:rsid w:val="001453A9"/>
    <w:rsid w:val="0014550D"/>
    <w:rsid w:val="00145604"/>
    <w:rsid w:val="001458FA"/>
    <w:rsid w:val="00145AD1"/>
    <w:rsid w:val="00145AD5"/>
    <w:rsid w:val="00145D00"/>
    <w:rsid w:val="00145E9A"/>
    <w:rsid w:val="00145EC4"/>
    <w:rsid w:val="00145F07"/>
    <w:rsid w:val="0014634D"/>
    <w:rsid w:val="001465F1"/>
    <w:rsid w:val="00146769"/>
    <w:rsid w:val="00146820"/>
    <w:rsid w:val="00146B04"/>
    <w:rsid w:val="00146B11"/>
    <w:rsid w:val="00146B63"/>
    <w:rsid w:val="00146C1A"/>
    <w:rsid w:val="00146CE1"/>
    <w:rsid w:val="00147165"/>
    <w:rsid w:val="00147350"/>
    <w:rsid w:val="00147985"/>
    <w:rsid w:val="00147ADC"/>
    <w:rsid w:val="00147BB7"/>
    <w:rsid w:val="00147C42"/>
    <w:rsid w:val="00147CE2"/>
    <w:rsid w:val="00150364"/>
    <w:rsid w:val="001507C7"/>
    <w:rsid w:val="001509BC"/>
    <w:rsid w:val="00150AD4"/>
    <w:rsid w:val="00150D2C"/>
    <w:rsid w:val="00150E2D"/>
    <w:rsid w:val="00150EF6"/>
    <w:rsid w:val="00150FFA"/>
    <w:rsid w:val="00151008"/>
    <w:rsid w:val="0015106B"/>
    <w:rsid w:val="00151176"/>
    <w:rsid w:val="001511C7"/>
    <w:rsid w:val="001511D3"/>
    <w:rsid w:val="001515C9"/>
    <w:rsid w:val="001516B5"/>
    <w:rsid w:val="001516EE"/>
    <w:rsid w:val="0015182D"/>
    <w:rsid w:val="001519FC"/>
    <w:rsid w:val="001519FD"/>
    <w:rsid w:val="00151BA8"/>
    <w:rsid w:val="00151D3A"/>
    <w:rsid w:val="00151F91"/>
    <w:rsid w:val="00152021"/>
    <w:rsid w:val="00152201"/>
    <w:rsid w:val="001523A8"/>
    <w:rsid w:val="0015256C"/>
    <w:rsid w:val="0015289D"/>
    <w:rsid w:val="001528DB"/>
    <w:rsid w:val="00152A38"/>
    <w:rsid w:val="00152BDF"/>
    <w:rsid w:val="00152D44"/>
    <w:rsid w:val="00152F0E"/>
    <w:rsid w:val="00152FAE"/>
    <w:rsid w:val="00152FD8"/>
    <w:rsid w:val="00152FE9"/>
    <w:rsid w:val="0015305B"/>
    <w:rsid w:val="001530C4"/>
    <w:rsid w:val="00153131"/>
    <w:rsid w:val="00153467"/>
    <w:rsid w:val="0015376F"/>
    <w:rsid w:val="001537FC"/>
    <w:rsid w:val="001538CA"/>
    <w:rsid w:val="00153B02"/>
    <w:rsid w:val="00153E6C"/>
    <w:rsid w:val="00153EAD"/>
    <w:rsid w:val="00153EEE"/>
    <w:rsid w:val="00153F73"/>
    <w:rsid w:val="00154147"/>
    <w:rsid w:val="001543AB"/>
    <w:rsid w:val="00154461"/>
    <w:rsid w:val="00154604"/>
    <w:rsid w:val="001548FE"/>
    <w:rsid w:val="00154956"/>
    <w:rsid w:val="00154AE2"/>
    <w:rsid w:val="00155147"/>
    <w:rsid w:val="0015534A"/>
    <w:rsid w:val="00155679"/>
    <w:rsid w:val="00155F70"/>
    <w:rsid w:val="00156F09"/>
    <w:rsid w:val="00156F0B"/>
    <w:rsid w:val="0015710D"/>
    <w:rsid w:val="001572EB"/>
    <w:rsid w:val="001575F3"/>
    <w:rsid w:val="00157735"/>
    <w:rsid w:val="00157D2D"/>
    <w:rsid w:val="00157E22"/>
    <w:rsid w:val="00157FB9"/>
    <w:rsid w:val="001600FB"/>
    <w:rsid w:val="0016023C"/>
    <w:rsid w:val="001602FB"/>
    <w:rsid w:val="001605EC"/>
    <w:rsid w:val="00160660"/>
    <w:rsid w:val="00160667"/>
    <w:rsid w:val="0016090C"/>
    <w:rsid w:val="00160991"/>
    <w:rsid w:val="00160BA4"/>
    <w:rsid w:val="00160D5A"/>
    <w:rsid w:val="00160D65"/>
    <w:rsid w:val="00160E51"/>
    <w:rsid w:val="00160E65"/>
    <w:rsid w:val="001610F7"/>
    <w:rsid w:val="00161154"/>
    <w:rsid w:val="00161484"/>
    <w:rsid w:val="00161518"/>
    <w:rsid w:val="00161589"/>
    <w:rsid w:val="00161591"/>
    <w:rsid w:val="00161AEA"/>
    <w:rsid w:val="00161B09"/>
    <w:rsid w:val="00161D27"/>
    <w:rsid w:val="00162015"/>
    <w:rsid w:val="00162083"/>
    <w:rsid w:val="00162105"/>
    <w:rsid w:val="001621A4"/>
    <w:rsid w:val="00162340"/>
    <w:rsid w:val="0016257C"/>
    <w:rsid w:val="001626F8"/>
    <w:rsid w:val="00162923"/>
    <w:rsid w:val="001629DD"/>
    <w:rsid w:val="00162F1A"/>
    <w:rsid w:val="00162F34"/>
    <w:rsid w:val="00162F44"/>
    <w:rsid w:val="00163170"/>
    <w:rsid w:val="0016376C"/>
    <w:rsid w:val="001637F3"/>
    <w:rsid w:val="0016414F"/>
    <w:rsid w:val="001644A2"/>
    <w:rsid w:val="0016453B"/>
    <w:rsid w:val="0016458E"/>
    <w:rsid w:val="001646E6"/>
    <w:rsid w:val="001647DF"/>
    <w:rsid w:val="001647EE"/>
    <w:rsid w:val="00164848"/>
    <w:rsid w:val="00164874"/>
    <w:rsid w:val="00164A7C"/>
    <w:rsid w:val="00164B59"/>
    <w:rsid w:val="00164B89"/>
    <w:rsid w:val="00164BBD"/>
    <w:rsid w:val="00164BFD"/>
    <w:rsid w:val="00164D89"/>
    <w:rsid w:val="00164E65"/>
    <w:rsid w:val="00164FD6"/>
    <w:rsid w:val="0016525A"/>
    <w:rsid w:val="001652A8"/>
    <w:rsid w:val="001654F1"/>
    <w:rsid w:val="00165619"/>
    <w:rsid w:val="0016562A"/>
    <w:rsid w:val="00165965"/>
    <w:rsid w:val="00165C3F"/>
    <w:rsid w:val="00165E25"/>
    <w:rsid w:val="0016643E"/>
    <w:rsid w:val="00166654"/>
    <w:rsid w:val="001666B7"/>
    <w:rsid w:val="00166813"/>
    <w:rsid w:val="0016682D"/>
    <w:rsid w:val="00166901"/>
    <w:rsid w:val="00166A86"/>
    <w:rsid w:val="00166B95"/>
    <w:rsid w:val="00166C82"/>
    <w:rsid w:val="00166F9F"/>
    <w:rsid w:val="00167113"/>
    <w:rsid w:val="00167317"/>
    <w:rsid w:val="00167368"/>
    <w:rsid w:val="0016747E"/>
    <w:rsid w:val="0016758E"/>
    <w:rsid w:val="00167613"/>
    <w:rsid w:val="00167660"/>
    <w:rsid w:val="001676FC"/>
    <w:rsid w:val="0016774A"/>
    <w:rsid w:val="00167774"/>
    <w:rsid w:val="001677CF"/>
    <w:rsid w:val="00167AFF"/>
    <w:rsid w:val="00167CC6"/>
    <w:rsid w:val="00167FA9"/>
    <w:rsid w:val="00167FCD"/>
    <w:rsid w:val="001703AE"/>
    <w:rsid w:val="001703B0"/>
    <w:rsid w:val="00170B4D"/>
    <w:rsid w:val="0017109B"/>
    <w:rsid w:val="00171168"/>
    <w:rsid w:val="001711B8"/>
    <w:rsid w:val="001712E6"/>
    <w:rsid w:val="0017133E"/>
    <w:rsid w:val="0017135C"/>
    <w:rsid w:val="001714FA"/>
    <w:rsid w:val="00171543"/>
    <w:rsid w:val="001715CB"/>
    <w:rsid w:val="001716A1"/>
    <w:rsid w:val="00171A63"/>
    <w:rsid w:val="00171AA9"/>
    <w:rsid w:val="00171C66"/>
    <w:rsid w:val="00171C9E"/>
    <w:rsid w:val="00172030"/>
    <w:rsid w:val="00172288"/>
    <w:rsid w:val="0017230C"/>
    <w:rsid w:val="0017231A"/>
    <w:rsid w:val="0017246D"/>
    <w:rsid w:val="00172565"/>
    <w:rsid w:val="0017256D"/>
    <w:rsid w:val="001728DE"/>
    <w:rsid w:val="001729A8"/>
    <w:rsid w:val="00172C43"/>
    <w:rsid w:val="00172E68"/>
    <w:rsid w:val="00172F11"/>
    <w:rsid w:val="0017319D"/>
    <w:rsid w:val="001735E7"/>
    <w:rsid w:val="00173A08"/>
    <w:rsid w:val="00173A27"/>
    <w:rsid w:val="00173B75"/>
    <w:rsid w:val="00173C39"/>
    <w:rsid w:val="00173E2A"/>
    <w:rsid w:val="00174069"/>
    <w:rsid w:val="001743D5"/>
    <w:rsid w:val="0017452D"/>
    <w:rsid w:val="00174BB6"/>
    <w:rsid w:val="00174EE6"/>
    <w:rsid w:val="00174F1E"/>
    <w:rsid w:val="00174F37"/>
    <w:rsid w:val="00175083"/>
    <w:rsid w:val="00175301"/>
    <w:rsid w:val="00175319"/>
    <w:rsid w:val="00175359"/>
    <w:rsid w:val="00175571"/>
    <w:rsid w:val="001755EC"/>
    <w:rsid w:val="00175FAC"/>
    <w:rsid w:val="0017627C"/>
    <w:rsid w:val="00176379"/>
    <w:rsid w:val="0017639D"/>
    <w:rsid w:val="001764C3"/>
    <w:rsid w:val="001765E7"/>
    <w:rsid w:val="0017664F"/>
    <w:rsid w:val="0017674B"/>
    <w:rsid w:val="001768B4"/>
    <w:rsid w:val="00176AE4"/>
    <w:rsid w:val="00176BB6"/>
    <w:rsid w:val="00176C64"/>
    <w:rsid w:val="00176FCA"/>
    <w:rsid w:val="00177100"/>
    <w:rsid w:val="00177556"/>
    <w:rsid w:val="00177665"/>
    <w:rsid w:val="001777DE"/>
    <w:rsid w:val="00177804"/>
    <w:rsid w:val="00177F24"/>
    <w:rsid w:val="00177FB9"/>
    <w:rsid w:val="00180619"/>
    <w:rsid w:val="00180A73"/>
    <w:rsid w:val="00180B0F"/>
    <w:rsid w:val="00180C86"/>
    <w:rsid w:val="00180F5D"/>
    <w:rsid w:val="001810FF"/>
    <w:rsid w:val="001816FC"/>
    <w:rsid w:val="00181731"/>
    <w:rsid w:val="0018174F"/>
    <w:rsid w:val="00181928"/>
    <w:rsid w:val="001819DE"/>
    <w:rsid w:val="00181A92"/>
    <w:rsid w:val="00181BEA"/>
    <w:rsid w:val="00181C49"/>
    <w:rsid w:val="00181E5F"/>
    <w:rsid w:val="00182008"/>
    <w:rsid w:val="00182294"/>
    <w:rsid w:val="001822E5"/>
    <w:rsid w:val="00182345"/>
    <w:rsid w:val="001823E4"/>
    <w:rsid w:val="001823F4"/>
    <w:rsid w:val="00182684"/>
    <w:rsid w:val="00182870"/>
    <w:rsid w:val="00182966"/>
    <w:rsid w:val="001829F6"/>
    <w:rsid w:val="00182A79"/>
    <w:rsid w:val="00182BA2"/>
    <w:rsid w:val="00182C76"/>
    <w:rsid w:val="00182ED1"/>
    <w:rsid w:val="00182FCA"/>
    <w:rsid w:val="00183054"/>
    <w:rsid w:val="00183436"/>
    <w:rsid w:val="001834F1"/>
    <w:rsid w:val="00183583"/>
    <w:rsid w:val="0018371B"/>
    <w:rsid w:val="0018376E"/>
    <w:rsid w:val="00183B5F"/>
    <w:rsid w:val="00183B9A"/>
    <w:rsid w:val="00183E4A"/>
    <w:rsid w:val="00183E61"/>
    <w:rsid w:val="001841A8"/>
    <w:rsid w:val="001842A4"/>
    <w:rsid w:val="001848C9"/>
    <w:rsid w:val="00184BA2"/>
    <w:rsid w:val="00184C11"/>
    <w:rsid w:val="00184CFB"/>
    <w:rsid w:val="00184DA0"/>
    <w:rsid w:val="00184E4C"/>
    <w:rsid w:val="001850A0"/>
    <w:rsid w:val="0018535C"/>
    <w:rsid w:val="00185389"/>
    <w:rsid w:val="0018547A"/>
    <w:rsid w:val="0018562D"/>
    <w:rsid w:val="001858F9"/>
    <w:rsid w:val="00185AF2"/>
    <w:rsid w:val="00185C43"/>
    <w:rsid w:val="00185CB5"/>
    <w:rsid w:val="00185DBF"/>
    <w:rsid w:val="00185F19"/>
    <w:rsid w:val="001860FF"/>
    <w:rsid w:val="001862CE"/>
    <w:rsid w:val="001863A7"/>
    <w:rsid w:val="001863C8"/>
    <w:rsid w:val="00186705"/>
    <w:rsid w:val="0018681B"/>
    <w:rsid w:val="001869F1"/>
    <w:rsid w:val="001870EC"/>
    <w:rsid w:val="00187362"/>
    <w:rsid w:val="0018750A"/>
    <w:rsid w:val="00187A0C"/>
    <w:rsid w:val="00187B20"/>
    <w:rsid w:val="00187B45"/>
    <w:rsid w:val="00187C6A"/>
    <w:rsid w:val="00187E9B"/>
    <w:rsid w:val="0019003C"/>
    <w:rsid w:val="00190099"/>
    <w:rsid w:val="0019010E"/>
    <w:rsid w:val="0019045B"/>
    <w:rsid w:val="00190606"/>
    <w:rsid w:val="0019074D"/>
    <w:rsid w:val="0019099F"/>
    <w:rsid w:val="00190BCD"/>
    <w:rsid w:val="00190E2C"/>
    <w:rsid w:val="00191108"/>
    <w:rsid w:val="00191398"/>
    <w:rsid w:val="00191759"/>
    <w:rsid w:val="00191D51"/>
    <w:rsid w:val="00191D9F"/>
    <w:rsid w:val="00191E7A"/>
    <w:rsid w:val="00191F10"/>
    <w:rsid w:val="00191FB1"/>
    <w:rsid w:val="00192174"/>
    <w:rsid w:val="001922CE"/>
    <w:rsid w:val="00192422"/>
    <w:rsid w:val="001929B7"/>
    <w:rsid w:val="00192A0C"/>
    <w:rsid w:val="00192A3B"/>
    <w:rsid w:val="00192B0F"/>
    <w:rsid w:val="00192D04"/>
    <w:rsid w:val="00192DE1"/>
    <w:rsid w:val="00192FF2"/>
    <w:rsid w:val="0019300D"/>
    <w:rsid w:val="00193166"/>
    <w:rsid w:val="0019320F"/>
    <w:rsid w:val="001933A9"/>
    <w:rsid w:val="001933B6"/>
    <w:rsid w:val="00193618"/>
    <w:rsid w:val="001939E5"/>
    <w:rsid w:val="00193CA6"/>
    <w:rsid w:val="00193E0C"/>
    <w:rsid w:val="00194533"/>
    <w:rsid w:val="00194B88"/>
    <w:rsid w:val="00194BBE"/>
    <w:rsid w:val="00195072"/>
    <w:rsid w:val="001952F5"/>
    <w:rsid w:val="00195464"/>
    <w:rsid w:val="00195539"/>
    <w:rsid w:val="001957DE"/>
    <w:rsid w:val="00195B43"/>
    <w:rsid w:val="00195C4C"/>
    <w:rsid w:val="00195CF0"/>
    <w:rsid w:val="00195F7B"/>
    <w:rsid w:val="00196098"/>
    <w:rsid w:val="00196259"/>
    <w:rsid w:val="0019646B"/>
    <w:rsid w:val="00196833"/>
    <w:rsid w:val="0019683F"/>
    <w:rsid w:val="00196991"/>
    <w:rsid w:val="00196B10"/>
    <w:rsid w:val="00197081"/>
    <w:rsid w:val="001970A4"/>
    <w:rsid w:val="001970B9"/>
    <w:rsid w:val="001972DE"/>
    <w:rsid w:val="00197AED"/>
    <w:rsid w:val="00197B57"/>
    <w:rsid w:val="00197C4C"/>
    <w:rsid w:val="00197CC6"/>
    <w:rsid w:val="00197D57"/>
    <w:rsid w:val="001A0066"/>
    <w:rsid w:val="001A00D9"/>
    <w:rsid w:val="001A0273"/>
    <w:rsid w:val="001A028C"/>
    <w:rsid w:val="001A03AD"/>
    <w:rsid w:val="001A03D7"/>
    <w:rsid w:val="001A0801"/>
    <w:rsid w:val="001A0A3D"/>
    <w:rsid w:val="001A0E77"/>
    <w:rsid w:val="001A1138"/>
    <w:rsid w:val="001A1164"/>
    <w:rsid w:val="001A14AC"/>
    <w:rsid w:val="001A1693"/>
    <w:rsid w:val="001A1932"/>
    <w:rsid w:val="001A1BC7"/>
    <w:rsid w:val="001A1E8E"/>
    <w:rsid w:val="001A2057"/>
    <w:rsid w:val="001A256F"/>
    <w:rsid w:val="001A2600"/>
    <w:rsid w:val="001A26A9"/>
    <w:rsid w:val="001A2CB0"/>
    <w:rsid w:val="001A323D"/>
    <w:rsid w:val="001A33D1"/>
    <w:rsid w:val="001A33E3"/>
    <w:rsid w:val="001A36E7"/>
    <w:rsid w:val="001A3921"/>
    <w:rsid w:val="001A3A68"/>
    <w:rsid w:val="001A3AE2"/>
    <w:rsid w:val="001A3FBE"/>
    <w:rsid w:val="001A4141"/>
    <w:rsid w:val="001A42D1"/>
    <w:rsid w:val="001A430F"/>
    <w:rsid w:val="001A45F7"/>
    <w:rsid w:val="001A461C"/>
    <w:rsid w:val="001A46E1"/>
    <w:rsid w:val="001A4767"/>
    <w:rsid w:val="001A47B7"/>
    <w:rsid w:val="001A48A9"/>
    <w:rsid w:val="001A5045"/>
    <w:rsid w:val="001A5240"/>
    <w:rsid w:val="001A52C6"/>
    <w:rsid w:val="001A554E"/>
    <w:rsid w:val="001A5598"/>
    <w:rsid w:val="001A5783"/>
    <w:rsid w:val="001A583A"/>
    <w:rsid w:val="001A58EF"/>
    <w:rsid w:val="001A5BEF"/>
    <w:rsid w:val="001A5F3C"/>
    <w:rsid w:val="001A5FC1"/>
    <w:rsid w:val="001A63BE"/>
    <w:rsid w:val="001A6425"/>
    <w:rsid w:val="001A6C87"/>
    <w:rsid w:val="001A6C8D"/>
    <w:rsid w:val="001A6E82"/>
    <w:rsid w:val="001A6ED7"/>
    <w:rsid w:val="001A710F"/>
    <w:rsid w:val="001A7285"/>
    <w:rsid w:val="001A73DC"/>
    <w:rsid w:val="001A75D1"/>
    <w:rsid w:val="001A764C"/>
    <w:rsid w:val="001A76D3"/>
    <w:rsid w:val="001A788E"/>
    <w:rsid w:val="001A792C"/>
    <w:rsid w:val="001A7A53"/>
    <w:rsid w:val="001A7C0E"/>
    <w:rsid w:val="001A7C67"/>
    <w:rsid w:val="001A7D99"/>
    <w:rsid w:val="001B00E6"/>
    <w:rsid w:val="001B0249"/>
    <w:rsid w:val="001B0B21"/>
    <w:rsid w:val="001B0BD8"/>
    <w:rsid w:val="001B0C1E"/>
    <w:rsid w:val="001B0D24"/>
    <w:rsid w:val="001B0EAE"/>
    <w:rsid w:val="001B0F3D"/>
    <w:rsid w:val="001B1526"/>
    <w:rsid w:val="001B168D"/>
    <w:rsid w:val="001B16D8"/>
    <w:rsid w:val="001B1A82"/>
    <w:rsid w:val="001B1E92"/>
    <w:rsid w:val="001B2043"/>
    <w:rsid w:val="001B23EF"/>
    <w:rsid w:val="001B2608"/>
    <w:rsid w:val="001B26D9"/>
    <w:rsid w:val="001B27C0"/>
    <w:rsid w:val="001B2809"/>
    <w:rsid w:val="001B2AFC"/>
    <w:rsid w:val="001B2B0B"/>
    <w:rsid w:val="001B2B23"/>
    <w:rsid w:val="001B2B70"/>
    <w:rsid w:val="001B3393"/>
    <w:rsid w:val="001B342C"/>
    <w:rsid w:val="001B34E1"/>
    <w:rsid w:val="001B369D"/>
    <w:rsid w:val="001B372A"/>
    <w:rsid w:val="001B3BCA"/>
    <w:rsid w:val="001B3C5E"/>
    <w:rsid w:val="001B3E20"/>
    <w:rsid w:val="001B445E"/>
    <w:rsid w:val="001B449E"/>
    <w:rsid w:val="001B45D7"/>
    <w:rsid w:val="001B46C4"/>
    <w:rsid w:val="001B47D9"/>
    <w:rsid w:val="001B48E7"/>
    <w:rsid w:val="001B49AD"/>
    <w:rsid w:val="001B49BA"/>
    <w:rsid w:val="001B4E38"/>
    <w:rsid w:val="001B506F"/>
    <w:rsid w:val="001B50A7"/>
    <w:rsid w:val="001B5573"/>
    <w:rsid w:val="001B5649"/>
    <w:rsid w:val="001B57B0"/>
    <w:rsid w:val="001B5A15"/>
    <w:rsid w:val="001B5B39"/>
    <w:rsid w:val="001B5CF4"/>
    <w:rsid w:val="001B6051"/>
    <w:rsid w:val="001B63CA"/>
    <w:rsid w:val="001B69E3"/>
    <w:rsid w:val="001B6A70"/>
    <w:rsid w:val="001B6AE3"/>
    <w:rsid w:val="001B6B94"/>
    <w:rsid w:val="001B6C39"/>
    <w:rsid w:val="001B7027"/>
    <w:rsid w:val="001B70BE"/>
    <w:rsid w:val="001B71E4"/>
    <w:rsid w:val="001B7892"/>
    <w:rsid w:val="001B79BC"/>
    <w:rsid w:val="001B7A78"/>
    <w:rsid w:val="001B7C72"/>
    <w:rsid w:val="001B7CD9"/>
    <w:rsid w:val="001B7D2E"/>
    <w:rsid w:val="001B7FCB"/>
    <w:rsid w:val="001C00E7"/>
    <w:rsid w:val="001C027B"/>
    <w:rsid w:val="001C038F"/>
    <w:rsid w:val="001C0455"/>
    <w:rsid w:val="001C07CB"/>
    <w:rsid w:val="001C115C"/>
    <w:rsid w:val="001C1286"/>
    <w:rsid w:val="001C16DB"/>
    <w:rsid w:val="001C177F"/>
    <w:rsid w:val="001C17DC"/>
    <w:rsid w:val="001C1A01"/>
    <w:rsid w:val="001C21B1"/>
    <w:rsid w:val="001C22E3"/>
    <w:rsid w:val="001C26CC"/>
    <w:rsid w:val="001C283C"/>
    <w:rsid w:val="001C2B77"/>
    <w:rsid w:val="001C2DC5"/>
    <w:rsid w:val="001C2EAD"/>
    <w:rsid w:val="001C2F04"/>
    <w:rsid w:val="001C2F13"/>
    <w:rsid w:val="001C33CF"/>
    <w:rsid w:val="001C3458"/>
    <w:rsid w:val="001C376B"/>
    <w:rsid w:val="001C3807"/>
    <w:rsid w:val="001C3896"/>
    <w:rsid w:val="001C3B3F"/>
    <w:rsid w:val="001C3B8F"/>
    <w:rsid w:val="001C3C0B"/>
    <w:rsid w:val="001C3D03"/>
    <w:rsid w:val="001C3D42"/>
    <w:rsid w:val="001C3DC0"/>
    <w:rsid w:val="001C3EAD"/>
    <w:rsid w:val="001C404E"/>
    <w:rsid w:val="001C410E"/>
    <w:rsid w:val="001C4137"/>
    <w:rsid w:val="001C41DB"/>
    <w:rsid w:val="001C427A"/>
    <w:rsid w:val="001C43A8"/>
    <w:rsid w:val="001C454E"/>
    <w:rsid w:val="001C4560"/>
    <w:rsid w:val="001C46E5"/>
    <w:rsid w:val="001C4AE2"/>
    <w:rsid w:val="001C4B65"/>
    <w:rsid w:val="001C4CF0"/>
    <w:rsid w:val="001C4E01"/>
    <w:rsid w:val="001C50A4"/>
    <w:rsid w:val="001C5187"/>
    <w:rsid w:val="001C519D"/>
    <w:rsid w:val="001C56DC"/>
    <w:rsid w:val="001C57D7"/>
    <w:rsid w:val="001C59A2"/>
    <w:rsid w:val="001C5BE8"/>
    <w:rsid w:val="001C5DBA"/>
    <w:rsid w:val="001C60A5"/>
    <w:rsid w:val="001C6101"/>
    <w:rsid w:val="001C633B"/>
    <w:rsid w:val="001C6427"/>
    <w:rsid w:val="001C6469"/>
    <w:rsid w:val="001C66DC"/>
    <w:rsid w:val="001C691C"/>
    <w:rsid w:val="001C6B26"/>
    <w:rsid w:val="001C6F6B"/>
    <w:rsid w:val="001C7168"/>
    <w:rsid w:val="001C72DA"/>
    <w:rsid w:val="001C7463"/>
    <w:rsid w:val="001C7598"/>
    <w:rsid w:val="001C759C"/>
    <w:rsid w:val="001C762B"/>
    <w:rsid w:val="001C78C5"/>
    <w:rsid w:val="001C7D60"/>
    <w:rsid w:val="001D0057"/>
    <w:rsid w:val="001D0507"/>
    <w:rsid w:val="001D05F2"/>
    <w:rsid w:val="001D0740"/>
    <w:rsid w:val="001D09CF"/>
    <w:rsid w:val="001D0A27"/>
    <w:rsid w:val="001D0AAB"/>
    <w:rsid w:val="001D0B6E"/>
    <w:rsid w:val="001D0BA0"/>
    <w:rsid w:val="001D0BE8"/>
    <w:rsid w:val="001D0FC5"/>
    <w:rsid w:val="001D10B0"/>
    <w:rsid w:val="001D1146"/>
    <w:rsid w:val="001D13C5"/>
    <w:rsid w:val="001D1401"/>
    <w:rsid w:val="001D149F"/>
    <w:rsid w:val="001D1838"/>
    <w:rsid w:val="001D1903"/>
    <w:rsid w:val="001D1EFE"/>
    <w:rsid w:val="001D1F95"/>
    <w:rsid w:val="001D1FE2"/>
    <w:rsid w:val="001D250E"/>
    <w:rsid w:val="001D2554"/>
    <w:rsid w:val="001D28A6"/>
    <w:rsid w:val="001D2955"/>
    <w:rsid w:val="001D2B93"/>
    <w:rsid w:val="001D2C83"/>
    <w:rsid w:val="001D2EB4"/>
    <w:rsid w:val="001D3092"/>
    <w:rsid w:val="001D31EC"/>
    <w:rsid w:val="001D33D1"/>
    <w:rsid w:val="001D33DF"/>
    <w:rsid w:val="001D3A16"/>
    <w:rsid w:val="001D3A6D"/>
    <w:rsid w:val="001D3BD8"/>
    <w:rsid w:val="001D3D24"/>
    <w:rsid w:val="001D3DD6"/>
    <w:rsid w:val="001D3ED9"/>
    <w:rsid w:val="001D3FC8"/>
    <w:rsid w:val="001D40AF"/>
    <w:rsid w:val="001D4109"/>
    <w:rsid w:val="001D4374"/>
    <w:rsid w:val="001D4445"/>
    <w:rsid w:val="001D483F"/>
    <w:rsid w:val="001D491B"/>
    <w:rsid w:val="001D4976"/>
    <w:rsid w:val="001D4A0E"/>
    <w:rsid w:val="001D4CAF"/>
    <w:rsid w:val="001D4D54"/>
    <w:rsid w:val="001D4E36"/>
    <w:rsid w:val="001D501D"/>
    <w:rsid w:val="001D509E"/>
    <w:rsid w:val="001D5363"/>
    <w:rsid w:val="001D5473"/>
    <w:rsid w:val="001D56F2"/>
    <w:rsid w:val="001D57EA"/>
    <w:rsid w:val="001D58BC"/>
    <w:rsid w:val="001D595F"/>
    <w:rsid w:val="001D5A78"/>
    <w:rsid w:val="001D5AE9"/>
    <w:rsid w:val="001D5BEB"/>
    <w:rsid w:val="001D5C4D"/>
    <w:rsid w:val="001D5C8E"/>
    <w:rsid w:val="001D5F40"/>
    <w:rsid w:val="001D5FBE"/>
    <w:rsid w:val="001D6050"/>
    <w:rsid w:val="001D64B2"/>
    <w:rsid w:val="001D6573"/>
    <w:rsid w:val="001D6791"/>
    <w:rsid w:val="001D6900"/>
    <w:rsid w:val="001D6A74"/>
    <w:rsid w:val="001D6E9A"/>
    <w:rsid w:val="001D6EF6"/>
    <w:rsid w:val="001D6FC8"/>
    <w:rsid w:val="001D71B5"/>
    <w:rsid w:val="001D7219"/>
    <w:rsid w:val="001D73D1"/>
    <w:rsid w:val="001D77E5"/>
    <w:rsid w:val="001D7B9B"/>
    <w:rsid w:val="001D7D76"/>
    <w:rsid w:val="001D7DE5"/>
    <w:rsid w:val="001D7E2E"/>
    <w:rsid w:val="001D7F9F"/>
    <w:rsid w:val="001D7FF8"/>
    <w:rsid w:val="001E0054"/>
    <w:rsid w:val="001E02CF"/>
    <w:rsid w:val="001E02EA"/>
    <w:rsid w:val="001E0449"/>
    <w:rsid w:val="001E070B"/>
    <w:rsid w:val="001E0A97"/>
    <w:rsid w:val="001E0AA2"/>
    <w:rsid w:val="001E0B75"/>
    <w:rsid w:val="001E0C06"/>
    <w:rsid w:val="001E103F"/>
    <w:rsid w:val="001E1166"/>
    <w:rsid w:val="001E133F"/>
    <w:rsid w:val="001E155A"/>
    <w:rsid w:val="001E1621"/>
    <w:rsid w:val="001E197A"/>
    <w:rsid w:val="001E19D6"/>
    <w:rsid w:val="001E1BD4"/>
    <w:rsid w:val="001E1CBD"/>
    <w:rsid w:val="001E1CDE"/>
    <w:rsid w:val="001E20B2"/>
    <w:rsid w:val="001E21C5"/>
    <w:rsid w:val="001E21F6"/>
    <w:rsid w:val="001E230A"/>
    <w:rsid w:val="001E24D0"/>
    <w:rsid w:val="001E24D3"/>
    <w:rsid w:val="001E27D1"/>
    <w:rsid w:val="001E2A40"/>
    <w:rsid w:val="001E2AF8"/>
    <w:rsid w:val="001E2B17"/>
    <w:rsid w:val="001E2D98"/>
    <w:rsid w:val="001E2DF3"/>
    <w:rsid w:val="001E2E52"/>
    <w:rsid w:val="001E2FF0"/>
    <w:rsid w:val="001E3327"/>
    <w:rsid w:val="001E3360"/>
    <w:rsid w:val="001E338C"/>
    <w:rsid w:val="001E3488"/>
    <w:rsid w:val="001E3808"/>
    <w:rsid w:val="001E38A2"/>
    <w:rsid w:val="001E3DB9"/>
    <w:rsid w:val="001E3F85"/>
    <w:rsid w:val="001E3FC8"/>
    <w:rsid w:val="001E4259"/>
    <w:rsid w:val="001E43E1"/>
    <w:rsid w:val="001E4416"/>
    <w:rsid w:val="001E46D7"/>
    <w:rsid w:val="001E4790"/>
    <w:rsid w:val="001E483D"/>
    <w:rsid w:val="001E4DC0"/>
    <w:rsid w:val="001E4E18"/>
    <w:rsid w:val="001E5431"/>
    <w:rsid w:val="001E559A"/>
    <w:rsid w:val="001E5633"/>
    <w:rsid w:val="001E56A4"/>
    <w:rsid w:val="001E57AD"/>
    <w:rsid w:val="001E5A76"/>
    <w:rsid w:val="001E5BBA"/>
    <w:rsid w:val="001E5E5D"/>
    <w:rsid w:val="001E5E9D"/>
    <w:rsid w:val="001E5F65"/>
    <w:rsid w:val="001E60B2"/>
    <w:rsid w:val="001E60E3"/>
    <w:rsid w:val="001E6BB4"/>
    <w:rsid w:val="001E6BFA"/>
    <w:rsid w:val="001E6C97"/>
    <w:rsid w:val="001E6D5F"/>
    <w:rsid w:val="001E6F02"/>
    <w:rsid w:val="001E71CB"/>
    <w:rsid w:val="001E7689"/>
    <w:rsid w:val="001E7913"/>
    <w:rsid w:val="001E7F52"/>
    <w:rsid w:val="001F0270"/>
    <w:rsid w:val="001F02F3"/>
    <w:rsid w:val="001F03F5"/>
    <w:rsid w:val="001F0918"/>
    <w:rsid w:val="001F0C69"/>
    <w:rsid w:val="001F0EEE"/>
    <w:rsid w:val="001F0F99"/>
    <w:rsid w:val="001F117A"/>
    <w:rsid w:val="001F12F6"/>
    <w:rsid w:val="001F1561"/>
    <w:rsid w:val="001F15E8"/>
    <w:rsid w:val="001F1799"/>
    <w:rsid w:val="001F1A03"/>
    <w:rsid w:val="001F1B5A"/>
    <w:rsid w:val="001F2432"/>
    <w:rsid w:val="001F2569"/>
    <w:rsid w:val="001F256B"/>
    <w:rsid w:val="001F257E"/>
    <w:rsid w:val="001F26C8"/>
    <w:rsid w:val="001F298A"/>
    <w:rsid w:val="001F2CED"/>
    <w:rsid w:val="001F2D1F"/>
    <w:rsid w:val="001F2EB5"/>
    <w:rsid w:val="001F32F4"/>
    <w:rsid w:val="001F3604"/>
    <w:rsid w:val="001F3B74"/>
    <w:rsid w:val="001F3E8D"/>
    <w:rsid w:val="001F3F51"/>
    <w:rsid w:val="001F4360"/>
    <w:rsid w:val="001F4531"/>
    <w:rsid w:val="001F4561"/>
    <w:rsid w:val="001F4C4A"/>
    <w:rsid w:val="001F4D20"/>
    <w:rsid w:val="001F4DED"/>
    <w:rsid w:val="001F519A"/>
    <w:rsid w:val="001F5606"/>
    <w:rsid w:val="001F563D"/>
    <w:rsid w:val="001F5749"/>
    <w:rsid w:val="001F57BB"/>
    <w:rsid w:val="001F58A0"/>
    <w:rsid w:val="001F58CC"/>
    <w:rsid w:val="001F5DC9"/>
    <w:rsid w:val="001F610C"/>
    <w:rsid w:val="001F66C4"/>
    <w:rsid w:val="001F670F"/>
    <w:rsid w:val="001F6733"/>
    <w:rsid w:val="001F683A"/>
    <w:rsid w:val="001F6A86"/>
    <w:rsid w:val="001F6B54"/>
    <w:rsid w:val="001F6EAB"/>
    <w:rsid w:val="001F70A3"/>
    <w:rsid w:val="001F743B"/>
    <w:rsid w:val="001F7455"/>
    <w:rsid w:val="001F7518"/>
    <w:rsid w:val="001F76FE"/>
    <w:rsid w:val="001F7BE9"/>
    <w:rsid w:val="00200067"/>
    <w:rsid w:val="0020026C"/>
    <w:rsid w:val="00200537"/>
    <w:rsid w:val="00200973"/>
    <w:rsid w:val="00200997"/>
    <w:rsid w:val="00200AEA"/>
    <w:rsid w:val="00200E29"/>
    <w:rsid w:val="00200E8E"/>
    <w:rsid w:val="00201316"/>
    <w:rsid w:val="0020140E"/>
    <w:rsid w:val="0020143D"/>
    <w:rsid w:val="002014BE"/>
    <w:rsid w:val="00201588"/>
    <w:rsid w:val="002015D8"/>
    <w:rsid w:val="0020197B"/>
    <w:rsid w:val="00201B1C"/>
    <w:rsid w:val="00201C5E"/>
    <w:rsid w:val="0020215E"/>
    <w:rsid w:val="002021EC"/>
    <w:rsid w:val="00202664"/>
    <w:rsid w:val="002026A6"/>
    <w:rsid w:val="002029E1"/>
    <w:rsid w:val="00202AFF"/>
    <w:rsid w:val="00202C90"/>
    <w:rsid w:val="00202CF1"/>
    <w:rsid w:val="002033E6"/>
    <w:rsid w:val="00203462"/>
    <w:rsid w:val="00203576"/>
    <w:rsid w:val="0020360F"/>
    <w:rsid w:val="0020367B"/>
    <w:rsid w:val="002037DB"/>
    <w:rsid w:val="00203961"/>
    <w:rsid w:val="00203D87"/>
    <w:rsid w:val="00203DE6"/>
    <w:rsid w:val="00203ECC"/>
    <w:rsid w:val="002040F4"/>
    <w:rsid w:val="002041DB"/>
    <w:rsid w:val="002041F3"/>
    <w:rsid w:val="00204223"/>
    <w:rsid w:val="00204229"/>
    <w:rsid w:val="002042BF"/>
    <w:rsid w:val="00204CD6"/>
    <w:rsid w:val="0020551B"/>
    <w:rsid w:val="0020563C"/>
    <w:rsid w:val="0020582D"/>
    <w:rsid w:val="0020623A"/>
    <w:rsid w:val="0020625F"/>
    <w:rsid w:val="00206334"/>
    <w:rsid w:val="002067CB"/>
    <w:rsid w:val="00206822"/>
    <w:rsid w:val="00206848"/>
    <w:rsid w:val="002069B1"/>
    <w:rsid w:val="0020705E"/>
    <w:rsid w:val="0020708E"/>
    <w:rsid w:val="00207208"/>
    <w:rsid w:val="0020738C"/>
    <w:rsid w:val="00207699"/>
    <w:rsid w:val="00207CE0"/>
    <w:rsid w:val="00207D1C"/>
    <w:rsid w:val="00207E23"/>
    <w:rsid w:val="00207EF7"/>
    <w:rsid w:val="0021001B"/>
    <w:rsid w:val="00210307"/>
    <w:rsid w:val="002103C0"/>
    <w:rsid w:val="002106A2"/>
    <w:rsid w:val="00210D1D"/>
    <w:rsid w:val="00210E11"/>
    <w:rsid w:val="00210E96"/>
    <w:rsid w:val="002110F8"/>
    <w:rsid w:val="00211560"/>
    <w:rsid w:val="002115AD"/>
    <w:rsid w:val="002115E6"/>
    <w:rsid w:val="002119AB"/>
    <w:rsid w:val="00211CA0"/>
    <w:rsid w:val="00211F24"/>
    <w:rsid w:val="00212305"/>
    <w:rsid w:val="00212488"/>
    <w:rsid w:val="0021251A"/>
    <w:rsid w:val="0021263D"/>
    <w:rsid w:val="00212959"/>
    <w:rsid w:val="002129B0"/>
    <w:rsid w:val="00212A95"/>
    <w:rsid w:val="00212B4C"/>
    <w:rsid w:val="00212B94"/>
    <w:rsid w:val="00212E99"/>
    <w:rsid w:val="0021310D"/>
    <w:rsid w:val="002132EE"/>
    <w:rsid w:val="0021332D"/>
    <w:rsid w:val="00213425"/>
    <w:rsid w:val="00213760"/>
    <w:rsid w:val="0021378B"/>
    <w:rsid w:val="0021410B"/>
    <w:rsid w:val="002144FC"/>
    <w:rsid w:val="002145FF"/>
    <w:rsid w:val="00214717"/>
    <w:rsid w:val="002149B4"/>
    <w:rsid w:val="00214A02"/>
    <w:rsid w:val="00214BC1"/>
    <w:rsid w:val="00214BD3"/>
    <w:rsid w:val="00214E6B"/>
    <w:rsid w:val="0021549C"/>
    <w:rsid w:val="00215593"/>
    <w:rsid w:val="00215662"/>
    <w:rsid w:val="002158A0"/>
    <w:rsid w:val="0021594B"/>
    <w:rsid w:val="00215B82"/>
    <w:rsid w:val="00215C28"/>
    <w:rsid w:val="00215CDE"/>
    <w:rsid w:val="00215CFB"/>
    <w:rsid w:val="00215D52"/>
    <w:rsid w:val="00215EBD"/>
    <w:rsid w:val="00216424"/>
    <w:rsid w:val="0021644C"/>
    <w:rsid w:val="00216522"/>
    <w:rsid w:val="00216957"/>
    <w:rsid w:val="002169B0"/>
    <w:rsid w:val="002169F5"/>
    <w:rsid w:val="00216B24"/>
    <w:rsid w:val="00216C45"/>
    <w:rsid w:val="00216F0A"/>
    <w:rsid w:val="002170DF"/>
    <w:rsid w:val="00217255"/>
    <w:rsid w:val="0021753B"/>
    <w:rsid w:val="00217559"/>
    <w:rsid w:val="00217655"/>
    <w:rsid w:val="002179D4"/>
    <w:rsid w:val="00217BA1"/>
    <w:rsid w:val="00217D7F"/>
    <w:rsid w:val="00217F69"/>
    <w:rsid w:val="002205EB"/>
    <w:rsid w:val="00220847"/>
    <w:rsid w:val="0022086B"/>
    <w:rsid w:val="00220872"/>
    <w:rsid w:val="00220A00"/>
    <w:rsid w:val="00220FDF"/>
    <w:rsid w:val="0022102C"/>
    <w:rsid w:val="002211D3"/>
    <w:rsid w:val="0022129B"/>
    <w:rsid w:val="002214D8"/>
    <w:rsid w:val="00221619"/>
    <w:rsid w:val="002216A1"/>
    <w:rsid w:val="0022177C"/>
    <w:rsid w:val="00221906"/>
    <w:rsid w:val="0022199D"/>
    <w:rsid w:val="00221A58"/>
    <w:rsid w:val="00221ACF"/>
    <w:rsid w:val="00221CA5"/>
    <w:rsid w:val="00222025"/>
    <w:rsid w:val="002221DC"/>
    <w:rsid w:val="002222AC"/>
    <w:rsid w:val="002223EF"/>
    <w:rsid w:val="0022273F"/>
    <w:rsid w:val="00222813"/>
    <w:rsid w:val="00222851"/>
    <w:rsid w:val="002228C5"/>
    <w:rsid w:val="0022291C"/>
    <w:rsid w:val="00222C0C"/>
    <w:rsid w:val="00222CDC"/>
    <w:rsid w:val="00222D0D"/>
    <w:rsid w:val="00222F7E"/>
    <w:rsid w:val="0022331F"/>
    <w:rsid w:val="00223332"/>
    <w:rsid w:val="002236CC"/>
    <w:rsid w:val="00223B6E"/>
    <w:rsid w:val="00223C12"/>
    <w:rsid w:val="00223E05"/>
    <w:rsid w:val="00223E22"/>
    <w:rsid w:val="002241F2"/>
    <w:rsid w:val="002244DA"/>
    <w:rsid w:val="0022484B"/>
    <w:rsid w:val="00224AE0"/>
    <w:rsid w:val="00224B33"/>
    <w:rsid w:val="00224D34"/>
    <w:rsid w:val="00224DA8"/>
    <w:rsid w:val="00224F5C"/>
    <w:rsid w:val="0022509C"/>
    <w:rsid w:val="00225142"/>
    <w:rsid w:val="0022528A"/>
    <w:rsid w:val="00225315"/>
    <w:rsid w:val="0022532D"/>
    <w:rsid w:val="002254B4"/>
    <w:rsid w:val="002254E4"/>
    <w:rsid w:val="0022571A"/>
    <w:rsid w:val="0022580F"/>
    <w:rsid w:val="002258B4"/>
    <w:rsid w:val="00225EB4"/>
    <w:rsid w:val="0022623B"/>
    <w:rsid w:val="002262E6"/>
    <w:rsid w:val="00226573"/>
    <w:rsid w:val="0022696E"/>
    <w:rsid w:val="00226A31"/>
    <w:rsid w:val="00226C89"/>
    <w:rsid w:val="00226E76"/>
    <w:rsid w:val="0022701E"/>
    <w:rsid w:val="00227452"/>
    <w:rsid w:val="002274AD"/>
    <w:rsid w:val="002274F6"/>
    <w:rsid w:val="00227545"/>
    <w:rsid w:val="00227F57"/>
    <w:rsid w:val="00230094"/>
    <w:rsid w:val="00230096"/>
    <w:rsid w:val="002303F9"/>
    <w:rsid w:val="0023046C"/>
    <w:rsid w:val="0023078E"/>
    <w:rsid w:val="00230A7A"/>
    <w:rsid w:val="00230BAF"/>
    <w:rsid w:val="00230E51"/>
    <w:rsid w:val="00230F30"/>
    <w:rsid w:val="00231031"/>
    <w:rsid w:val="00231610"/>
    <w:rsid w:val="002316D5"/>
    <w:rsid w:val="002316E5"/>
    <w:rsid w:val="00231855"/>
    <w:rsid w:val="002319D9"/>
    <w:rsid w:val="00231B41"/>
    <w:rsid w:val="00231CB8"/>
    <w:rsid w:val="00231F1C"/>
    <w:rsid w:val="0023207D"/>
    <w:rsid w:val="00232151"/>
    <w:rsid w:val="002321B2"/>
    <w:rsid w:val="00232354"/>
    <w:rsid w:val="00232640"/>
    <w:rsid w:val="00232852"/>
    <w:rsid w:val="002328A2"/>
    <w:rsid w:val="00232928"/>
    <w:rsid w:val="00232A09"/>
    <w:rsid w:val="00232A73"/>
    <w:rsid w:val="00232D45"/>
    <w:rsid w:val="00232DA9"/>
    <w:rsid w:val="00232F62"/>
    <w:rsid w:val="00233160"/>
    <w:rsid w:val="002331DB"/>
    <w:rsid w:val="00233417"/>
    <w:rsid w:val="002334CA"/>
    <w:rsid w:val="00233714"/>
    <w:rsid w:val="0023397B"/>
    <w:rsid w:val="00233B10"/>
    <w:rsid w:val="00233E84"/>
    <w:rsid w:val="00233FF2"/>
    <w:rsid w:val="0023444D"/>
    <w:rsid w:val="0023449A"/>
    <w:rsid w:val="0023494F"/>
    <w:rsid w:val="00234993"/>
    <w:rsid w:val="00234B44"/>
    <w:rsid w:val="00234D5A"/>
    <w:rsid w:val="00234E90"/>
    <w:rsid w:val="00234FE3"/>
    <w:rsid w:val="0023508F"/>
    <w:rsid w:val="00235341"/>
    <w:rsid w:val="00235409"/>
    <w:rsid w:val="00235421"/>
    <w:rsid w:val="00235466"/>
    <w:rsid w:val="002354A2"/>
    <w:rsid w:val="0023573D"/>
    <w:rsid w:val="002358E1"/>
    <w:rsid w:val="002358EE"/>
    <w:rsid w:val="00235AF5"/>
    <w:rsid w:val="00235C8A"/>
    <w:rsid w:val="00236101"/>
    <w:rsid w:val="0023681B"/>
    <w:rsid w:val="00236831"/>
    <w:rsid w:val="00236841"/>
    <w:rsid w:val="002371D0"/>
    <w:rsid w:val="002371F0"/>
    <w:rsid w:val="00237246"/>
    <w:rsid w:val="002372CB"/>
    <w:rsid w:val="002375BF"/>
    <w:rsid w:val="00237606"/>
    <w:rsid w:val="002378F5"/>
    <w:rsid w:val="00237C03"/>
    <w:rsid w:val="00237ECD"/>
    <w:rsid w:val="0024003B"/>
    <w:rsid w:val="002401E8"/>
    <w:rsid w:val="002403E8"/>
    <w:rsid w:val="002404B1"/>
    <w:rsid w:val="00240916"/>
    <w:rsid w:val="002414AC"/>
    <w:rsid w:val="00241525"/>
    <w:rsid w:val="002415F0"/>
    <w:rsid w:val="002416A1"/>
    <w:rsid w:val="002416A2"/>
    <w:rsid w:val="0024197C"/>
    <w:rsid w:val="00241C68"/>
    <w:rsid w:val="00242293"/>
    <w:rsid w:val="002428E1"/>
    <w:rsid w:val="00242969"/>
    <w:rsid w:val="00242982"/>
    <w:rsid w:val="00242BF2"/>
    <w:rsid w:val="00242CAC"/>
    <w:rsid w:val="00242D87"/>
    <w:rsid w:val="0024304D"/>
    <w:rsid w:val="00243053"/>
    <w:rsid w:val="0024306C"/>
    <w:rsid w:val="002431E1"/>
    <w:rsid w:val="00243236"/>
    <w:rsid w:val="002433F3"/>
    <w:rsid w:val="0024370D"/>
    <w:rsid w:val="0024372A"/>
    <w:rsid w:val="00243867"/>
    <w:rsid w:val="00243A4B"/>
    <w:rsid w:val="00243B82"/>
    <w:rsid w:val="00243BDF"/>
    <w:rsid w:val="00243C43"/>
    <w:rsid w:val="00244151"/>
    <w:rsid w:val="002442B4"/>
    <w:rsid w:val="002442FD"/>
    <w:rsid w:val="00244462"/>
    <w:rsid w:val="002444D1"/>
    <w:rsid w:val="00244528"/>
    <w:rsid w:val="002445A3"/>
    <w:rsid w:val="0024487A"/>
    <w:rsid w:val="002448AA"/>
    <w:rsid w:val="002448AD"/>
    <w:rsid w:val="002449F3"/>
    <w:rsid w:val="00244B4D"/>
    <w:rsid w:val="00244C77"/>
    <w:rsid w:val="00244D48"/>
    <w:rsid w:val="00244D99"/>
    <w:rsid w:val="00244EE8"/>
    <w:rsid w:val="0024506E"/>
    <w:rsid w:val="002456B8"/>
    <w:rsid w:val="0024578D"/>
    <w:rsid w:val="0024584B"/>
    <w:rsid w:val="00245E05"/>
    <w:rsid w:val="00245FE5"/>
    <w:rsid w:val="002460E5"/>
    <w:rsid w:val="00246162"/>
    <w:rsid w:val="002461F4"/>
    <w:rsid w:val="0024654E"/>
    <w:rsid w:val="002466D1"/>
    <w:rsid w:val="00246936"/>
    <w:rsid w:val="00246B68"/>
    <w:rsid w:val="00246C8D"/>
    <w:rsid w:val="002471CF"/>
    <w:rsid w:val="00247A2D"/>
    <w:rsid w:val="00247A3A"/>
    <w:rsid w:val="00247A6F"/>
    <w:rsid w:val="00247D30"/>
    <w:rsid w:val="002504FC"/>
    <w:rsid w:val="0025064E"/>
    <w:rsid w:val="00250732"/>
    <w:rsid w:val="002513B4"/>
    <w:rsid w:val="0025185A"/>
    <w:rsid w:val="00251AA4"/>
    <w:rsid w:val="00251C89"/>
    <w:rsid w:val="00251F08"/>
    <w:rsid w:val="0025232F"/>
    <w:rsid w:val="0025268A"/>
    <w:rsid w:val="002527FE"/>
    <w:rsid w:val="002528CE"/>
    <w:rsid w:val="0025296F"/>
    <w:rsid w:val="002529B2"/>
    <w:rsid w:val="00252BF6"/>
    <w:rsid w:val="00252CD5"/>
    <w:rsid w:val="00252DF9"/>
    <w:rsid w:val="00252E39"/>
    <w:rsid w:val="002532CA"/>
    <w:rsid w:val="00253ADE"/>
    <w:rsid w:val="00253B40"/>
    <w:rsid w:val="00253D3A"/>
    <w:rsid w:val="00253D42"/>
    <w:rsid w:val="00253FC1"/>
    <w:rsid w:val="00253FDD"/>
    <w:rsid w:val="00254143"/>
    <w:rsid w:val="002543E5"/>
    <w:rsid w:val="0025481A"/>
    <w:rsid w:val="00254A8C"/>
    <w:rsid w:val="00254B01"/>
    <w:rsid w:val="00254D31"/>
    <w:rsid w:val="00254DBE"/>
    <w:rsid w:val="0025503D"/>
    <w:rsid w:val="002553BA"/>
    <w:rsid w:val="002553EE"/>
    <w:rsid w:val="002556AC"/>
    <w:rsid w:val="00255714"/>
    <w:rsid w:val="0025585E"/>
    <w:rsid w:val="00255C8B"/>
    <w:rsid w:val="00255F7F"/>
    <w:rsid w:val="002563A0"/>
    <w:rsid w:val="00256508"/>
    <w:rsid w:val="002565D6"/>
    <w:rsid w:val="0025663A"/>
    <w:rsid w:val="00256771"/>
    <w:rsid w:val="0025682C"/>
    <w:rsid w:val="00256879"/>
    <w:rsid w:val="00256941"/>
    <w:rsid w:val="00256943"/>
    <w:rsid w:val="00256A90"/>
    <w:rsid w:val="00256AAB"/>
    <w:rsid w:val="00256DF2"/>
    <w:rsid w:val="00256E5D"/>
    <w:rsid w:val="00256F1D"/>
    <w:rsid w:val="00256FA4"/>
    <w:rsid w:val="00257346"/>
    <w:rsid w:val="0025744E"/>
    <w:rsid w:val="002575AB"/>
    <w:rsid w:val="002575B7"/>
    <w:rsid w:val="002579EC"/>
    <w:rsid w:val="00257A6F"/>
    <w:rsid w:val="00257A87"/>
    <w:rsid w:val="00257C26"/>
    <w:rsid w:val="00257E7C"/>
    <w:rsid w:val="00260499"/>
    <w:rsid w:val="002604F9"/>
    <w:rsid w:val="00260538"/>
    <w:rsid w:val="002605CC"/>
    <w:rsid w:val="00260786"/>
    <w:rsid w:val="00260AD9"/>
    <w:rsid w:val="00260C09"/>
    <w:rsid w:val="00260D42"/>
    <w:rsid w:val="00260EAD"/>
    <w:rsid w:val="0026114C"/>
    <w:rsid w:val="00261295"/>
    <w:rsid w:val="00261431"/>
    <w:rsid w:val="002614C2"/>
    <w:rsid w:val="002615FA"/>
    <w:rsid w:val="00261659"/>
    <w:rsid w:val="0026168D"/>
    <w:rsid w:val="00261719"/>
    <w:rsid w:val="002617F5"/>
    <w:rsid w:val="00261A40"/>
    <w:rsid w:val="00261A6C"/>
    <w:rsid w:val="00261A84"/>
    <w:rsid w:val="00261D56"/>
    <w:rsid w:val="00261DE8"/>
    <w:rsid w:val="002622AA"/>
    <w:rsid w:val="0026233E"/>
    <w:rsid w:val="002623C9"/>
    <w:rsid w:val="002623D2"/>
    <w:rsid w:val="00262442"/>
    <w:rsid w:val="002625F0"/>
    <w:rsid w:val="00262692"/>
    <w:rsid w:val="002628B6"/>
    <w:rsid w:val="00262C9C"/>
    <w:rsid w:val="00262D4C"/>
    <w:rsid w:val="00262E2A"/>
    <w:rsid w:val="00262EB0"/>
    <w:rsid w:val="0026307E"/>
    <w:rsid w:val="0026314C"/>
    <w:rsid w:val="0026364F"/>
    <w:rsid w:val="00263780"/>
    <w:rsid w:val="00263AA4"/>
    <w:rsid w:val="00263C8C"/>
    <w:rsid w:val="00263D16"/>
    <w:rsid w:val="00263D1E"/>
    <w:rsid w:val="00263F85"/>
    <w:rsid w:val="00263F86"/>
    <w:rsid w:val="00264205"/>
    <w:rsid w:val="002643F1"/>
    <w:rsid w:val="00264401"/>
    <w:rsid w:val="00264588"/>
    <w:rsid w:val="0026474E"/>
    <w:rsid w:val="002649D6"/>
    <w:rsid w:val="00264C07"/>
    <w:rsid w:val="00264C82"/>
    <w:rsid w:val="00264D4B"/>
    <w:rsid w:val="00264D5B"/>
    <w:rsid w:val="00264D93"/>
    <w:rsid w:val="00264E57"/>
    <w:rsid w:val="00265186"/>
    <w:rsid w:val="00265374"/>
    <w:rsid w:val="00265410"/>
    <w:rsid w:val="002655C1"/>
    <w:rsid w:val="00265AA0"/>
    <w:rsid w:val="00265B6A"/>
    <w:rsid w:val="00265C1F"/>
    <w:rsid w:val="00265E32"/>
    <w:rsid w:val="00265F03"/>
    <w:rsid w:val="00265F1B"/>
    <w:rsid w:val="002662CE"/>
    <w:rsid w:val="002663EE"/>
    <w:rsid w:val="0026642E"/>
    <w:rsid w:val="0026681B"/>
    <w:rsid w:val="0026681C"/>
    <w:rsid w:val="0026693F"/>
    <w:rsid w:val="00266D13"/>
    <w:rsid w:val="00266D32"/>
    <w:rsid w:val="00266E24"/>
    <w:rsid w:val="00266EBB"/>
    <w:rsid w:val="00266F72"/>
    <w:rsid w:val="00266F8C"/>
    <w:rsid w:val="00266FFE"/>
    <w:rsid w:val="002671AB"/>
    <w:rsid w:val="002672AF"/>
    <w:rsid w:val="00267483"/>
    <w:rsid w:val="00267484"/>
    <w:rsid w:val="0026749D"/>
    <w:rsid w:val="00267714"/>
    <w:rsid w:val="00267785"/>
    <w:rsid w:val="002679A1"/>
    <w:rsid w:val="00267C95"/>
    <w:rsid w:val="00267D0B"/>
    <w:rsid w:val="00267F3D"/>
    <w:rsid w:val="00267FBD"/>
    <w:rsid w:val="00270360"/>
    <w:rsid w:val="002703D0"/>
    <w:rsid w:val="002704DC"/>
    <w:rsid w:val="0027075D"/>
    <w:rsid w:val="002709FE"/>
    <w:rsid w:val="00270E53"/>
    <w:rsid w:val="002711CE"/>
    <w:rsid w:val="00271276"/>
    <w:rsid w:val="002713AD"/>
    <w:rsid w:val="00271443"/>
    <w:rsid w:val="00271764"/>
    <w:rsid w:val="0027176E"/>
    <w:rsid w:val="002717AF"/>
    <w:rsid w:val="00271934"/>
    <w:rsid w:val="00271B22"/>
    <w:rsid w:val="00271D4D"/>
    <w:rsid w:val="00271D80"/>
    <w:rsid w:val="00272060"/>
    <w:rsid w:val="002723F6"/>
    <w:rsid w:val="00272BDE"/>
    <w:rsid w:val="00272E3D"/>
    <w:rsid w:val="00272F7C"/>
    <w:rsid w:val="00273559"/>
    <w:rsid w:val="002737A3"/>
    <w:rsid w:val="002739B0"/>
    <w:rsid w:val="00273E64"/>
    <w:rsid w:val="00273F07"/>
    <w:rsid w:val="002740AD"/>
    <w:rsid w:val="002742CC"/>
    <w:rsid w:val="002745F4"/>
    <w:rsid w:val="00274AA6"/>
    <w:rsid w:val="00274AFE"/>
    <w:rsid w:val="00274B8B"/>
    <w:rsid w:val="00274BE4"/>
    <w:rsid w:val="00274CE8"/>
    <w:rsid w:val="00274CF2"/>
    <w:rsid w:val="00274DB2"/>
    <w:rsid w:val="00274E59"/>
    <w:rsid w:val="002750EF"/>
    <w:rsid w:val="00275102"/>
    <w:rsid w:val="00275456"/>
    <w:rsid w:val="002757B8"/>
    <w:rsid w:val="002759B2"/>
    <w:rsid w:val="00275B79"/>
    <w:rsid w:val="00275BB8"/>
    <w:rsid w:val="00275FEF"/>
    <w:rsid w:val="00276156"/>
    <w:rsid w:val="0027628B"/>
    <w:rsid w:val="002764FE"/>
    <w:rsid w:val="002766F7"/>
    <w:rsid w:val="00276B0B"/>
    <w:rsid w:val="00276DEA"/>
    <w:rsid w:val="002775B0"/>
    <w:rsid w:val="002776C6"/>
    <w:rsid w:val="002777F9"/>
    <w:rsid w:val="00277B1A"/>
    <w:rsid w:val="00277B69"/>
    <w:rsid w:val="00277C99"/>
    <w:rsid w:val="00277D4B"/>
    <w:rsid w:val="00277E15"/>
    <w:rsid w:val="00277FB0"/>
    <w:rsid w:val="00280008"/>
    <w:rsid w:val="00280013"/>
    <w:rsid w:val="002800B9"/>
    <w:rsid w:val="002802F5"/>
    <w:rsid w:val="002803C8"/>
    <w:rsid w:val="002804B8"/>
    <w:rsid w:val="00280CB1"/>
    <w:rsid w:val="00280CD8"/>
    <w:rsid w:val="00280D62"/>
    <w:rsid w:val="00280F6F"/>
    <w:rsid w:val="00281246"/>
    <w:rsid w:val="002814DB"/>
    <w:rsid w:val="00281713"/>
    <w:rsid w:val="00281857"/>
    <w:rsid w:val="0028196D"/>
    <w:rsid w:val="00281B44"/>
    <w:rsid w:val="00281D1A"/>
    <w:rsid w:val="00281D8E"/>
    <w:rsid w:val="002820AE"/>
    <w:rsid w:val="00282195"/>
    <w:rsid w:val="00282273"/>
    <w:rsid w:val="002826A7"/>
    <w:rsid w:val="002827C0"/>
    <w:rsid w:val="0028282B"/>
    <w:rsid w:val="00282B6E"/>
    <w:rsid w:val="00282BAD"/>
    <w:rsid w:val="00282F0F"/>
    <w:rsid w:val="00283107"/>
    <w:rsid w:val="002831BC"/>
    <w:rsid w:val="0028385A"/>
    <w:rsid w:val="0028391C"/>
    <w:rsid w:val="0028394A"/>
    <w:rsid w:val="00283B92"/>
    <w:rsid w:val="00283EF4"/>
    <w:rsid w:val="00283F93"/>
    <w:rsid w:val="00284042"/>
    <w:rsid w:val="00284054"/>
    <w:rsid w:val="00284128"/>
    <w:rsid w:val="002848E7"/>
    <w:rsid w:val="002849B4"/>
    <w:rsid w:val="002849DA"/>
    <w:rsid w:val="002849F6"/>
    <w:rsid w:val="00284F67"/>
    <w:rsid w:val="002850DD"/>
    <w:rsid w:val="002850E5"/>
    <w:rsid w:val="00285256"/>
    <w:rsid w:val="00285615"/>
    <w:rsid w:val="002856BD"/>
    <w:rsid w:val="00285731"/>
    <w:rsid w:val="00285793"/>
    <w:rsid w:val="002859D6"/>
    <w:rsid w:val="00285C44"/>
    <w:rsid w:val="00285D9D"/>
    <w:rsid w:val="00285E26"/>
    <w:rsid w:val="00286029"/>
    <w:rsid w:val="00286110"/>
    <w:rsid w:val="00286182"/>
    <w:rsid w:val="002861FE"/>
    <w:rsid w:val="002862F4"/>
    <w:rsid w:val="00286511"/>
    <w:rsid w:val="002869C1"/>
    <w:rsid w:val="002869DE"/>
    <w:rsid w:val="00286B9B"/>
    <w:rsid w:val="00286C15"/>
    <w:rsid w:val="00287136"/>
    <w:rsid w:val="002873C7"/>
    <w:rsid w:val="00287472"/>
    <w:rsid w:val="00287665"/>
    <w:rsid w:val="00287ADF"/>
    <w:rsid w:val="00287AF4"/>
    <w:rsid w:val="00287FC6"/>
    <w:rsid w:val="00290351"/>
    <w:rsid w:val="00290506"/>
    <w:rsid w:val="00290546"/>
    <w:rsid w:val="002905EA"/>
    <w:rsid w:val="00290949"/>
    <w:rsid w:val="00290CE9"/>
    <w:rsid w:val="00290E1E"/>
    <w:rsid w:val="00290FC6"/>
    <w:rsid w:val="00290FF1"/>
    <w:rsid w:val="002910CA"/>
    <w:rsid w:val="002916D1"/>
    <w:rsid w:val="00291912"/>
    <w:rsid w:val="0029194C"/>
    <w:rsid w:val="00291AC9"/>
    <w:rsid w:val="00291BD3"/>
    <w:rsid w:val="00291D36"/>
    <w:rsid w:val="00291E90"/>
    <w:rsid w:val="002920F4"/>
    <w:rsid w:val="002922EE"/>
    <w:rsid w:val="00292459"/>
    <w:rsid w:val="002925BE"/>
    <w:rsid w:val="00292781"/>
    <w:rsid w:val="00292F23"/>
    <w:rsid w:val="002930B0"/>
    <w:rsid w:val="00293144"/>
    <w:rsid w:val="002934AE"/>
    <w:rsid w:val="00293C8C"/>
    <w:rsid w:val="00293CFF"/>
    <w:rsid w:val="00293E7C"/>
    <w:rsid w:val="00293F2D"/>
    <w:rsid w:val="00293FD9"/>
    <w:rsid w:val="00294181"/>
    <w:rsid w:val="002941B3"/>
    <w:rsid w:val="00294251"/>
    <w:rsid w:val="00294445"/>
    <w:rsid w:val="002944C5"/>
    <w:rsid w:val="002948E7"/>
    <w:rsid w:val="002949D5"/>
    <w:rsid w:val="00294C10"/>
    <w:rsid w:val="00294F25"/>
    <w:rsid w:val="00294F2B"/>
    <w:rsid w:val="00294FF1"/>
    <w:rsid w:val="0029523D"/>
    <w:rsid w:val="0029543B"/>
    <w:rsid w:val="002954D3"/>
    <w:rsid w:val="00295773"/>
    <w:rsid w:val="00295D6D"/>
    <w:rsid w:val="00295D82"/>
    <w:rsid w:val="00295F50"/>
    <w:rsid w:val="0029614F"/>
    <w:rsid w:val="00296465"/>
    <w:rsid w:val="002967B0"/>
    <w:rsid w:val="002967E8"/>
    <w:rsid w:val="002967F8"/>
    <w:rsid w:val="0029683D"/>
    <w:rsid w:val="00296853"/>
    <w:rsid w:val="002970F1"/>
    <w:rsid w:val="00297221"/>
    <w:rsid w:val="0029734A"/>
    <w:rsid w:val="002974E7"/>
    <w:rsid w:val="002978CD"/>
    <w:rsid w:val="00297ACC"/>
    <w:rsid w:val="00297DC5"/>
    <w:rsid w:val="00297E6B"/>
    <w:rsid w:val="00297F9D"/>
    <w:rsid w:val="002A0354"/>
    <w:rsid w:val="002A04AE"/>
    <w:rsid w:val="002A0607"/>
    <w:rsid w:val="002A0870"/>
    <w:rsid w:val="002A099A"/>
    <w:rsid w:val="002A09C5"/>
    <w:rsid w:val="002A0D97"/>
    <w:rsid w:val="002A0DBB"/>
    <w:rsid w:val="002A0F67"/>
    <w:rsid w:val="002A0F6A"/>
    <w:rsid w:val="002A1281"/>
    <w:rsid w:val="002A12DD"/>
    <w:rsid w:val="002A14C7"/>
    <w:rsid w:val="002A1601"/>
    <w:rsid w:val="002A181E"/>
    <w:rsid w:val="002A183E"/>
    <w:rsid w:val="002A184F"/>
    <w:rsid w:val="002A18BB"/>
    <w:rsid w:val="002A1B5F"/>
    <w:rsid w:val="002A1D1A"/>
    <w:rsid w:val="002A234B"/>
    <w:rsid w:val="002A23E7"/>
    <w:rsid w:val="002A2501"/>
    <w:rsid w:val="002A2590"/>
    <w:rsid w:val="002A295E"/>
    <w:rsid w:val="002A2978"/>
    <w:rsid w:val="002A29A7"/>
    <w:rsid w:val="002A2B34"/>
    <w:rsid w:val="002A2C05"/>
    <w:rsid w:val="002A2C26"/>
    <w:rsid w:val="002A2DB1"/>
    <w:rsid w:val="002A2F2D"/>
    <w:rsid w:val="002A300E"/>
    <w:rsid w:val="002A309C"/>
    <w:rsid w:val="002A315F"/>
    <w:rsid w:val="002A31BE"/>
    <w:rsid w:val="002A32E8"/>
    <w:rsid w:val="002A3387"/>
    <w:rsid w:val="002A3985"/>
    <w:rsid w:val="002A39C3"/>
    <w:rsid w:val="002A4138"/>
    <w:rsid w:val="002A4191"/>
    <w:rsid w:val="002A4338"/>
    <w:rsid w:val="002A444D"/>
    <w:rsid w:val="002A4538"/>
    <w:rsid w:val="002A4644"/>
    <w:rsid w:val="002A4AE1"/>
    <w:rsid w:val="002A4CA0"/>
    <w:rsid w:val="002A4CC5"/>
    <w:rsid w:val="002A5023"/>
    <w:rsid w:val="002A5135"/>
    <w:rsid w:val="002A5257"/>
    <w:rsid w:val="002A536D"/>
    <w:rsid w:val="002A5970"/>
    <w:rsid w:val="002A5B0C"/>
    <w:rsid w:val="002A5B1E"/>
    <w:rsid w:val="002A5B6A"/>
    <w:rsid w:val="002A5D1F"/>
    <w:rsid w:val="002A5E33"/>
    <w:rsid w:val="002A5F76"/>
    <w:rsid w:val="002A6022"/>
    <w:rsid w:val="002A6056"/>
    <w:rsid w:val="002A62AD"/>
    <w:rsid w:val="002A63C3"/>
    <w:rsid w:val="002A64F6"/>
    <w:rsid w:val="002A66DD"/>
    <w:rsid w:val="002A6928"/>
    <w:rsid w:val="002A6979"/>
    <w:rsid w:val="002A69C3"/>
    <w:rsid w:val="002A6C0B"/>
    <w:rsid w:val="002A6DB8"/>
    <w:rsid w:val="002A700D"/>
    <w:rsid w:val="002A70FF"/>
    <w:rsid w:val="002A71B8"/>
    <w:rsid w:val="002A725E"/>
    <w:rsid w:val="002A751D"/>
    <w:rsid w:val="002A77AF"/>
    <w:rsid w:val="002A787D"/>
    <w:rsid w:val="002A78DB"/>
    <w:rsid w:val="002A7923"/>
    <w:rsid w:val="002A7942"/>
    <w:rsid w:val="002A7C5B"/>
    <w:rsid w:val="002A7CDC"/>
    <w:rsid w:val="002A7D14"/>
    <w:rsid w:val="002A7F1C"/>
    <w:rsid w:val="002B02CB"/>
    <w:rsid w:val="002B037D"/>
    <w:rsid w:val="002B091C"/>
    <w:rsid w:val="002B0A7E"/>
    <w:rsid w:val="002B0AC6"/>
    <w:rsid w:val="002B0C7C"/>
    <w:rsid w:val="002B0CEF"/>
    <w:rsid w:val="002B0D54"/>
    <w:rsid w:val="002B0EC8"/>
    <w:rsid w:val="002B108C"/>
    <w:rsid w:val="002B1368"/>
    <w:rsid w:val="002B13D8"/>
    <w:rsid w:val="002B1826"/>
    <w:rsid w:val="002B1910"/>
    <w:rsid w:val="002B197E"/>
    <w:rsid w:val="002B1AC5"/>
    <w:rsid w:val="002B1BAE"/>
    <w:rsid w:val="002B1EF0"/>
    <w:rsid w:val="002B20E3"/>
    <w:rsid w:val="002B2208"/>
    <w:rsid w:val="002B2546"/>
    <w:rsid w:val="002B2751"/>
    <w:rsid w:val="002B2798"/>
    <w:rsid w:val="002B29A8"/>
    <w:rsid w:val="002B29FC"/>
    <w:rsid w:val="002B2B57"/>
    <w:rsid w:val="002B2DF2"/>
    <w:rsid w:val="002B309B"/>
    <w:rsid w:val="002B3233"/>
    <w:rsid w:val="002B326C"/>
    <w:rsid w:val="002B3291"/>
    <w:rsid w:val="002B348D"/>
    <w:rsid w:val="002B34DD"/>
    <w:rsid w:val="002B34E7"/>
    <w:rsid w:val="002B35E3"/>
    <w:rsid w:val="002B374B"/>
    <w:rsid w:val="002B38C5"/>
    <w:rsid w:val="002B398C"/>
    <w:rsid w:val="002B3A50"/>
    <w:rsid w:val="002B3D0D"/>
    <w:rsid w:val="002B409C"/>
    <w:rsid w:val="002B41E2"/>
    <w:rsid w:val="002B421E"/>
    <w:rsid w:val="002B42B4"/>
    <w:rsid w:val="002B4698"/>
    <w:rsid w:val="002B4713"/>
    <w:rsid w:val="002B474C"/>
    <w:rsid w:val="002B48D4"/>
    <w:rsid w:val="002B4C4E"/>
    <w:rsid w:val="002B4DAE"/>
    <w:rsid w:val="002B4E25"/>
    <w:rsid w:val="002B53A8"/>
    <w:rsid w:val="002B53B2"/>
    <w:rsid w:val="002B5443"/>
    <w:rsid w:val="002B580B"/>
    <w:rsid w:val="002B5A28"/>
    <w:rsid w:val="002B5CE3"/>
    <w:rsid w:val="002B5CFE"/>
    <w:rsid w:val="002B619C"/>
    <w:rsid w:val="002B6B18"/>
    <w:rsid w:val="002B6F2F"/>
    <w:rsid w:val="002B7111"/>
    <w:rsid w:val="002B727E"/>
    <w:rsid w:val="002B72BB"/>
    <w:rsid w:val="002B755B"/>
    <w:rsid w:val="002B774F"/>
    <w:rsid w:val="002B78E5"/>
    <w:rsid w:val="002B79E7"/>
    <w:rsid w:val="002B7D75"/>
    <w:rsid w:val="002B7E23"/>
    <w:rsid w:val="002C0064"/>
    <w:rsid w:val="002C01D6"/>
    <w:rsid w:val="002C04BF"/>
    <w:rsid w:val="002C04D7"/>
    <w:rsid w:val="002C04E4"/>
    <w:rsid w:val="002C079E"/>
    <w:rsid w:val="002C097D"/>
    <w:rsid w:val="002C0A36"/>
    <w:rsid w:val="002C0A90"/>
    <w:rsid w:val="002C0B65"/>
    <w:rsid w:val="002C0C2C"/>
    <w:rsid w:val="002C0E29"/>
    <w:rsid w:val="002C0F1A"/>
    <w:rsid w:val="002C1068"/>
    <w:rsid w:val="002C1162"/>
    <w:rsid w:val="002C12AD"/>
    <w:rsid w:val="002C12F9"/>
    <w:rsid w:val="002C13F3"/>
    <w:rsid w:val="002C1495"/>
    <w:rsid w:val="002C1A0B"/>
    <w:rsid w:val="002C1A95"/>
    <w:rsid w:val="002C1AB2"/>
    <w:rsid w:val="002C1E7D"/>
    <w:rsid w:val="002C1F78"/>
    <w:rsid w:val="002C1FE2"/>
    <w:rsid w:val="002C2295"/>
    <w:rsid w:val="002C236D"/>
    <w:rsid w:val="002C28AC"/>
    <w:rsid w:val="002C2A08"/>
    <w:rsid w:val="002C2CBB"/>
    <w:rsid w:val="002C2E71"/>
    <w:rsid w:val="002C301C"/>
    <w:rsid w:val="002C3330"/>
    <w:rsid w:val="002C3662"/>
    <w:rsid w:val="002C3756"/>
    <w:rsid w:val="002C37DB"/>
    <w:rsid w:val="002C3881"/>
    <w:rsid w:val="002C38FD"/>
    <w:rsid w:val="002C3901"/>
    <w:rsid w:val="002C3919"/>
    <w:rsid w:val="002C3946"/>
    <w:rsid w:val="002C3CB2"/>
    <w:rsid w:val="002C3DC3"/>
    <w:rsid w:val="002C3E30"/>
    <w:rsid w:val="002C3E86"/>
    <w:rsid w:val="002C423A"/>
    <w:rsid w:val="002C4294"/>
    <w:rsid w:val="002C4882"/>
    <w:rsid w:val="002C4A76"/>
    <w:rsid w:val="002C4C96"/>
    <w:rsid w:val="002C4DA9"/>
    <w:rsid w:val="002C4DEB"/>
    <w:rsid w:val="002C4E70"/>
    <w:rsid w:val="002C4EED"/>
    <w:rsid w:val="002C51EB"/>
    <w:rsid w:val="002C51EC"/>
    <w:rsid w:val="002C5240"/>
    <w:rsid w:val="002C524E"/>
    <w:rsid w:val="002C5B34"/>
    <w:rsid w:val="002C5DAE"/>
    <w:rsid w:val="002C5E5A"/>
    <w:rsid w:val="002C6002"/>
    <w:rsid w:val="002C6642"/>
    <w:rsid w:val="002C6989"/>
    <w:rsid w:val="002C6D14"/>
    <w:rsid w:val="002C6F49"/>
    <w:rsid w:val="002C7407"/>
    <w:rsid w:val="002C7A28"/>
    <w:rsid w:val="002C7AE6"/>
    <w:rsid w:val="002C7B78"/>
    <w:rsid w:val="002C7C45"/>
    <w:rsid w:val="002D00FA"/>
    <w:rsid w:val="002D0128"/>
    <w:rsid w:val="002D063F"/>
    <w:rsid w:val="002D07EC"/>
    <w:rsid w:val="002D08B8"/>
    <w:rsid w:val="002D08D7"/>
    <w:rsid w:val="002D0A4C"/>
    <w:rsid w:val="002D0BA9"/>
    <w:rsid w:val="002D0BCF"/>
    <w:rsid w:val="002D0C47"/>
    <w:rsid w:val="002D0CED"/>
    <w:rsid w:val="002D0EAA"/>
    <w:rsid w:val="002D107B"/>
    <w:rsid w:val="002D119D"/>
    <w:rsid w:val="002D1569"/>
    <w:rsid w:val="002D1B78"/>
    <w:rsid w:val="002D1D75"/>
    <w:rsid w:val="002D20E4"/>
    <w:rsid w:val="002D2331"/>
    <w:rsid w:val="002D2416"/>
    <w:rsid w:val="002D2478"/>
    <w:rsid w:val="002D247A"/>
    <w:rsid w:val="002D25D5"/>
    <w:rsid w:val="002D279F"/>
    <w:rsid w:val="002D2904"/>
    <w:rsid w:val="002D2927"/>
    <w:rsid w:val="002D29F0"/>
    <w:rsid w:val="002D2A4B"/>
    <w:rsid w:val="002D2A70"/>
    <w:rsid w:val="002D2B80"/>
    <w:rsid w:val="002D2D1B"/>
    <w:rsid w:val="002D2EA6"/>
    <w:rsid w:val="002D2F1D"/>
    <w:rsid w:val="002D2F81"/>
    <w:rsid w:val="002D30D1"/>
    <w:rsid w:val="002D327C"/>
    <w:rsid w:val="002D3375"/>
    <w:rsid w:val="002D3619"/>
    <w:rsid w:val="002D3B5A"/>
    <w:rsid w:val="002D3C1E"/>
    <w:rsid w:val="002D3C2D"/>
    <w:rsid w:val="002D3EF7"/>
    <w:rsid w:val="002D4301"/>
    <w:rsid w:val="002D4303"/>
    <w:rsid w:val="002D43E3"/>
    <w:rsid w:val="002D43E4"/>
    <w:rsid w:val="002D47AD"/>
    <w:rsid w:val="002D4972"/>
    <w:rsid w:val="002D4B25"/>
    <w:rsid w:val="002D4CE0"/>
    <w:rsid w:val="002D4CEE"/>
    <w:rsid w:val="002D4F33"/>
    <w:rsid w:val="002D4FC8"/>
    <w:rsid w:val="002D5017"/>
    <w:rsid w:val="002D511B"/>
    <w:rsid w:val="002D519A"/>
    <w:rsid w:val="002D5443"/>
    <w:rsid w:val="002D57BA"/>
    <w:rsid w:val="002D5D8E"/>
    <w:rsid w:val="002D60AF"/>
    <w:rsid w:val="002D610D"/>
    <w:rsid w:val="002D613F"/>
    <w:rsid w:val="002D6422"/>
    <w:rsid w:val="002D66D6"/>
    <w:rsid w:val="002D67C0"/>
    <w:rsid w:val="002D6803"/>
    <w:rsid w:val="002D6989"/>
    <w:rsid w:val="002D6D42"/>
    <w:rsid w:val="002D6E5E"/>
    <w:rsid w:val="002D708D"/>
    <w:rsid w:val="002D72D4"/>
    <w:rsid w:val="002D736E"/>
    <w:rsid w:val="002D7385"/>
    <w:rsid w:val="002D73DA"/>
    <w:rsid w:val="002D7AB9"/>
    <w:rsid w:val="002D7DF2"/>
    <w:rsid w:val="002D7E99"/>
    <w:rsid w:val="002D7F74"/>
    <w:rsid w:val="002E0048"/>
    <w:rsid w:val="002E00A3"/>
    <w:rsid w:val="002E0178"/>
    <w:rsid w:val="002E0317"/>
    <w:rsid w:val="002E03B5"/>
    <w:rsid w:val="002E0415"/>
    <w:rsid w:val="002E04A2"/>
    <w:rsid w:val="002E05C9"/>
    <w:rsid w:val="002E0878"/>
    <w:rsid w:val="002E0924"/>
    <w:rsid w:val="002E09E9"/>
    <w:rsid w:val="002E0A61"/>
    <w:rsid w:val="002E0A8A"/>
    <w:rsid w:val="002E0AE4"/>
    <w:rsid w:val="002E0B02"/>
    <w:rsid w:val="002E0C49"/>
    <w:rsid w:val="002E0D4F"/>
    <w:rsid w:val="002E0FED"/>
    <w:rsid w:val="002E1120"/>
    <w:rsid w:val="002E14D6"/>
    <w:rsid w:val="002E1545"/>
    <w:rsid w:val="002E1673"/>
    <w:rsid w:val="002E17A2"/>
    <w:rsid w:val="002E1BF7"/>
    <w:rsid w:val="002E1C3A"/>
    <w:rsid w:val="002E1C6B"/>
    <w:rsid w:val="002E231F"/>
    <w:rsid w:val="002E233C"/>
    <w:rsid w:val="002E2415"/>
    <w:rsid w:val="002E260A"/>
    <w:rsid w:val="002E2951"/>
    <w:rsid w:val="002E29F8"/>
    <w:rsid w:val="002E2BB9"/>
    <w:rsid w:val="002E2C09"/>
    <w:rsid w:val="002E2EBF"/>
    <w:rsid w:val="002E30BC"/>
    <w:rsid w:val="002E316F"/>
    <w:rsid w:val="002E319B"/>
    <w:rsid w:val="002E3269"/>
    <w:rsid w:val="002E33F2"/>
    <w:rsid w:val="002E36FD"/>
    <w:rsid w:val="002E37CA"/>
    <w:rsid w:val="002E3949"/>
    <w:rsid w:val="002E3B5E"/>
    <w:rsid w:val="002E3BE2"/>
    <w:rsid w:val="002E3C15"/>
    <w:rsid w:val="002E3FA9"/>
    <w:rsid w:val="002E43A1"/>
    <w:rsid w:val="002E448E"/>
    <w:rsid w:val="002E462D"/>
    <w:rsid w:val="002E491F"/>
    <w:rsid w:val="002E4A23"/>
    <w:rsid w:val="002E4D3E"/>
    <w:rsid w:val="002E4D6B"/>
    <w:rsid w:val="002E4FA2"/>
    <w:rsid w:val="002E5335"/>
    <w:rsid w:val="002E58B6"/>
    <w:rsid w:val="002E5C0B"/>
    <w:rsid w:val="002E5F8A"/>
    <w:rsid w:val="002E616B"/>
    <w:rsid w:val="002E6176"/>
    <w:rsid w:val="002E6346"/>
    <w:rsid w:val="002E6443"/>
    <w:rsid w:val="002E6837"/>
    <w:rsid w:val="002E6965"/>
    <w:rsid w:val="002E69F3"/>
    <w:rsid w:val="002E71E5"/>
    <w:rsid w:val="002E7380"/>
    <w:rsid w:val="002E7402"/>
    <w:rsid w:val="002E74AE"/>
    <w:rsid w:val="002E7DA5"/>
    <w:rsid w:val="002E7E97"/>
    <w:rsid w:val="002E7E9E"/>
    <w:rsid w:val="002E7FE9"/>
    <w:rsid w:val="002F01AD"/>
    <w:rsid w:val="002F06D2"/>
    <w:rsid w:val="002F078D"/>
    <w:rsid w:val="002F0966"/>
    <w:rsid w:val="002F0BEF"/>
    <w:rsid w:val="002F1128"/>
    <w:rsid w:val="002F141B"/>
    <w:rsid w:val="002F167A"/>
    <w:rsid w:val="002F1787"/>
    <w:rsid w:val="002F1A23"/>
    <w:rsid w:val="002F1BE2"/>
    <w:rsid w:val="002F1E58"/>
    <w:rsid w:val="002F1F01"/>
    <w:rsid w:val="002F217D"/>
    <w:rsid w:val="002F23AE"/>
    <w:rsid w:val="002F2416"/>
    <w:rsid w:val="002F26A8"/>
    <w:rsid w:val="002F27B7"/>
    <w:rsid w:val="002F27C2"/>
    <w:rsid w:val="002F2B15"/>
    <w:rsid w:val="002F2C2A"/>
    <w:rsid w:val="002F2C2E"/>
    <w:rsid w:val="002F2DD1"/>
    <w:rsid w:val="002F2F58"/>
    <w:rsid w:val="002F305F"/>
    <w:rsid w:val="002F34BC"/>
    <w:rsid w:val="002F3550"/>
    <w:rsid w:val="002F3DED"/>
    <w:rsid w:val="002F3FFF"/>
    <w:rsid w:val="002F4094"/>
    <w:rsid w:val="002F4119"/>
    <w:rsid w:val="002F41AE"/>
    <w:rsid w:val="002F44D6"/>
    <w:rsid w:val="002F4681"/>
    <w:rsid w:val="002F488D"/>
    <w:rsid w:val="002F48E7"/>
    <w:rsid w:val="002F49ED"/>
    <w:rsid w:val="002F4C27"/>
    <w:rsid w:val="002F4E2E"/>
    <w:rsid w:val="002F503C"/>
    <w:rsid w:val="002F5071"/>
    <w:rsid w:val="002F524A"/>
    <w:rsid w:val="002F525E"/>
    <w:rsid w:val="002F55E6"/>
    <w:rsid w:val="002F578C"/>
    <w:rsid w:val="002F580C"/>
    <w:rsid w:val="002F58B5"/>
    <w:rsid w:val="002F5968"/>
    <w:rsid w:val="002F59E6"/>
    <w:rsid w:val="002F6162"/>
    <w:rsid w:val="002F62A5"/>
    <w:rsid w:val="002F64CB"/>
    <w:rsid w:val="002F6DD0"/>
    <w:rsid w:val="002F719B"/>
    <w:rsid w:val="002F7531"/>
    <w:rsid w:val="002F7598"/>
    <w:rsid w:val="002F7666"/>
    <w:rsid w:val="002F76B1"/>
    <w:rsid w:val="002F7717"/>
    <w:rsid w:val="002F7878"/>
    <w:rsid w:val="002F78A2"/>
    <w:rsid w:val="002F7B1F"/>
    <w:rsid w:val="00300193"/>
    <w:rsid w:val="003001A4"/>
    <w:rsid w:val="003005D5"/>
    <w:rsid w:val="00300667"/>
    <w:rsid w:val="003006CA"/>
    <w:rsid w:val="003007AB"/>
    <w:rsid w:val="00300D98"/>
    <w:rsid w:val="00300DB5"/>
    <w:rsid w:val="00300EC2"/>
    <w:rsid w:val="00301000"/>
    <w:rsid w:val="003010A4"/>
    <w:rsid w:val="00301336"/>
    <w:rsid w:val="003014E8"/>
    <w:rsid w:val="00301595"/>
    <w:rsid w:val="00301683"/>
    <w:rsid w:val="003018C6"/>
    <w:rsid w:val="003018EE"/>
    <w:rsid w:val="00301BE8"/>
    <w:rsid w:val="00301FCE"/>
    <w:rsid w:val="003020FC"/>
    <w:rsid w:val="0030218E"/>
    <w:rsid w:val="0030221F"/>
    <w:rsid w:val="00302252"/>
    <w:rsid w:val="00302409"/>
    <w:rsid w:val="00302446"/>
    <w:rsid w:val="00302575"/>
    <w:rsid w:val="003025E2"/>
    <w:rsid w:val="003025F1"/>
    <w:rsid w:val="00302650"/>
    <w:rsid w:val="00302769"/>
    <w:rsid w:val="00302A1B"/>
    <w:rsid w:val="00302A4A"/>
    <w:rsid w:val="00302CDB"/>
    <w:rsid w:val="00302F32"/>
    <w:rsid w:val="00302F8D"/>
    <w:rsid w:val="00303108"/>
    <w:rsid w:val="003032DC"/>
    <w:rsid w:val="00303658"/>
    <w:rsid w:val="00303704"/>
    <w:rsid w:val="003038A3"/>
    <w:rsid w:val="0030390C"/>
    <w:rsid w:val="00303B3D"/>
    <w:rsid w:val="00303C5C"/>
    <w:rsid w:val="00303CC4"/>
    <w:rsid w:val="00303E1C"/>
    <w:rsid w:val="00303E5C"/>
    <w:rsid w:val="003042BC"/>
    <w:rsid w:val="00304669"/>
    <w:rsid w:val="00304F12"/>
    <w:rsid w:val="0030535B"/>
    <w:rsid w:val="0030536E"/>
    <w:rsid w:val="0030543E"/>
    <w:rsid w:val="00305500"/>
    <w:rsid w:val="0030552B"/>
    <w:rsid w:val="003057DE"/>
    <w:rsid w:val="003058CC"/>
    <w:rsid w:val="003058D0"/>
    <w:rsid w:val="00305937"/>
    <w:rsid w:val="00305D8B"/>
    <w:rsid w:val="00305ED3"/>
    <w:rsid w:val="00305FB9"/>
    <w:rsid w:val="00305FFB"/>
    <w:rsid w:val="003060B1"/>
    <w:rsid w:val="003061AB"/>
    <w:rsid w:val="003062CB"/>
    <w:rsid w:val="0030631A"/>
    <w:rsid w:val="003066B1"/>
    <w:rsid w:val="0030675E"/>
    <w:rsid w:val="003069ED"/>
    <w:rsid w:val="00306A74"/>
    <w:rsid w:val="00306B19"/>
    <w:rsid w:val="00306BC4"/>
    <w:rsid w:val="00306C2C"/>
    <w:rsid w:val="003070DF"/>
    <w:rsid w:val="003070E5"/>
    <w:rsid w:val="0030714B"/>
    <w:rsid w:val="003071C0"/>
    <w:rsid w:val="00307347"/>
    <w:rsid w:val="00307551"/>
    <w:rsid w:val="0030756B"/>
    <w:rsid w:val="003076C3"/>
    <w:rsid w:val="003077FF"/>
    <w:rsid w:val="003078CE"/>
    <w:rsid w:val="0031030C"/>
    <w:rsid w:val="0031031E"/>
    <w:rsid w:val="0031035B"/>
    <w:rsid w:val="003104C8"/>
    <w:rsid w:val="00310565"/>
    <w:rsid w:val="0031060F"/>
    <w:rsid w:val="00310659"/>
    <w:rsid w:val="00310B5D"/>
    <w:rsid w:val="00310D1F"/>
    <w:rsid w:val="00310E22"/>
    <w:rsid w:val="00310EE4"/>
    <w:rsid w:val="0031105A"/>
    <w:rsid w:val="003110CC"/>
    <w:rsid w:val="0031118F"/>
    <w:rsid w:val="003111A5"/>
    <w:rsid w:val="00311510"/>
    <w:rsid w:val="00311586"/>
    <w:rsid w:val="003115A9"/>
    <w:rsid w:val="00311B91"/>
    <w:rsid w:val="00311B98"/>
    <w:rsid w:val="00311ECB"/>
    <w:rsid w:val="00311ED7"/>
    <w:rsid w:val="00312087"/>
    <w:rsid w:val="0031209E"/>
    <w:rsid w:val="003122DA"/>
    <w:rsid w:val="00312378"/>
    <w:rsid w:val="00312478"/>
    <w:rsid w:val="00312616"/>
    <w:rsid w:val="0031274A"/>
    <w:rsid w:val="00312A0D"/>
    <w:rsid w:val="00312DAC"/>
    <w:rsid w:val="00313131"/>
    <w:rsid w:val="00313154"/>
    <w:rsid w:val="00313299"/>
    <w:rsid w:val="00313380"/>
    <w:rsid w:val="003133CD"/>
    <w:rsid w:val="003138C0"/>
    <w:rsid w:val="00313C7C"/>
    <w:rsid w:val="00313E44"/>
    <w:rsid w:val="003142CA"/>
    <w:rsid w:val="0031488D"/>
    <w:rsid w:val="003149CC"/>
    <w:rsid w:val="00314BE6"/>
    <w:rsid w:val="00314CEB"/>
    <w:rsid w:val="00314E85"/>
    <w:rsid w:val="003152DD"/>
    <w:rsid w:val="003155AB"/>
    <w:rsid w:val="00315718"/>
    <w:rsid w:val="0031579D"/>
    <w:rsid w:val="003157A9"/>
    <w:rsid w:val="00315B93"/>
    <w:rsid w:val="00315F3C"/>
    <w:rsid w:val="00315F7E"/>
    <w:rsid w:val="003163A9"/>
    <w:rsid w:val="003165D2"/>
    <w:rsid w:val="0031676E"/>
    <w:rsid w:val="0031677A"/>
    <w:rsid w:val="003168D7"/>
    <w:rsid w:val="0031690B"/>
    <w:rsid w:val="00316BB2"/>
    <w:rsid w:val="00316D82"/>
    <w:rsid w:val="00317449"/>
    <w:rsid w:val="00317485"/>
    <w:rsid w:val="003175DF"/>
    <w:rsid w:val="00317685"/>
    <w:rsid w:val="00317A84"/>
    <w:rsid w:val="00317BEC"/>
    <w:rsid w:val="00317BFC"/>
    <w:rsid w:val="00317C16"/>
    <w:rsid w:val="00317D7D"/>
    <w:rsid w:val="00317F1E"/>
    <w:rsid w:val="00317FF8"/>
    <w:rsid w:val="00320072"/>
    <w:rsid w:val="00320081"/>
    <w:rsid w:val="0032051B"/>
    <w:rsid w:val="003207AD"/>
    <w:rsid w:val="0032091E"/>
    <w:rsid w:val="00320976"/>
    <w:rsid w:val="00320BAF"/>
    <w:rsid w:val="00320E8C"/>
    <w:rsid w:val="003210D5"/>
    <w:rsid w:val="0032162C"/>
    <w:rsid w:val="003218DE"/>
    <w:rsid w:val="00321A06"/>
    <w:rsid w:val="00321B1B"/>
    <w:rsid w:val="00321EF3"/>
    <w:rsid w:val="00322198"/>
    <w:rsid w:val="0032221E"/>
    <w:rsid w:val="003222A0"/>
    <w:rsid w:val="0032230F"/>
    <w:rsid w:val="003223B1"/>
    <w:rsid w:val="00322400"/>
    <w:rsid w:val="00322693"/>
    <w:rsid w:val="00322786"/>
    <w:rsid w:val="003229F2"/>
    <w:rsid w:val="00322E74"/>
    <w:rsid w:val="0032312D"/>
    <w:rsid w:val="00323600"/>
    <w:rsid w:val="00323664"/>
    <w:rsid w:val="0032369C"/>
    <w:rsid w:val="0032399E"/>
    <w:rsid w:val="00323A83"/>
    <w:rsid w:val="00323C1D"/>
    <w:rsid w:val="00323CA1"/>
    <w:rsid w:val="00323CD1"/>
    <w:rsid w:val="003240B5"/>
    <w:rsid w:val="00324511"/>
    <w:rsid w:val="003246E4"/>
    <w:rsid w:val="00324871"/>
    <w:rsid w:val="00324A0C"/>
    <w:rsid w:val="00324AAC"/>
    <w:rsid w:val="00324AE1"/>
    <w:rsid w:val="00324D80"/>
    <w:rsid w:val="00324DB9"/>
    <w:rsid w:val="00324DD0"/>
    <w:rsid w:val="00324E03"/>
    <w:rsid w:val="00324EAD"/>
    <w:rsid w:val="0032503F"/>
    <w:rsid w:val="00325470"/>
    <w:rsid w:val="003254C9"/>
    <w:rsid w:val="00325566"/>
    <w:rsid w:val="00325623"/>
    <w:rsid w:val="0032573D"/>
    <w:rsid w:val="00325A59"/>
    <w:rsid w:val="00325DA2"/>
    <w:rsid w:val="003260BF"/>
    <w:rsid w:val="00326477"/>
    <w:rsid w:val="003265C1"/>
    <w:rsid w:val="00326743"/>
    <w:rsid w:val="00326B46"/>
    <w:rsid w:val="00326EB9"/>
    <w:rsid w:val="00327038"/>
    <w:rsid w:val="0032721D"/>
    <w:rsid w:val="0032736D"/>
    <w:rsid w:val="00327468"/>
    <w:rsid w:val="00327691"/>
    <w:rsid w:val="0032772D"/>
    <w:rsid w:val="0032789E"/>
    <w:rsid w:val="003278CF"/>
    <w:rsid w:val="0032795B"/>
    <w:rsid w:val="00327D54"/>
    <w:rsid w:val="00327E07"/>
    <w:rsid w:val="00327FAA"/>
    <w:rsid w:val="00327FED"/>
    <w:rsid w:val="003301D0"/>
    <w:rsid w:val="003306B7"/>
    <w:rsid w:val="00330C64"/>
    <w:rsid w:val="003312E7"/>
    <w:rsid w:val="00331378"/>
    <w:rsid w:val="0033140A"/>
    <w:rsid w:val="00331461"/>
    <w:rsid w:val="0033166D"/>
    <w:rsid w:val="00331728"/>
    <w:rsid w:val="00331785"/>
    <w:rsid w:val="003318AD"/>
    <w:rsid w:val="0033192B"/>
    <w:rsid w:val="00331AF3"/>
    <w:rsid w:val="00331BC3"/>
    <w:rsid w:val="00331C12"/>
    <w:rsid w:val="00331D76"/>
    <w:rsid w:val="00331F6E"/>
    <w:rsid w:val="00331F83"/>
    <w:rsid w:val="00332117"/>
    <w:rsid w:val="00332135"/>
    <w:rsid w:val="003321C4"/>
    <w:rsid w:val="00332649"/>
    <w:rsid w:val="00332869"/>
    <w:rsid w:val="00332B68"/>
    <w:rsid w:val="00333564"/>
    <w:rsid w:val="00333786"/>
    <w:rsid w:val="00333F92"/>
    <w:rsid w:val="00333FEC"/>
    <w:rsid w:val="003342F6"/>
    <w:rsid w:val="00334302"/>
    <w:rsid w:val="00334368"/>
    <w:rsid w:val="00334391"/>
    <w:rsid w:val="00334583"/>
    <w:rsid w:val="00334646"/>
    <w:rsid w:val="00334743"/>
    <w:rsid w:val="00335297"/>
    <w:rsid w:val="00335476"/>
    <w:rsid w:val="003354F1"/>
    <w:rsid w:val="00335552"/>
    <w:rsid w:val="00335796"/>
    <w:rsid w:val="0033585C"/>
    <w:rsid w:val="0033593E"/>
    <w:rsid w:val="00335BC6"/>
    <w:rsid w:val="00335C12"/>
    <w:rsid w:val="00335C3C"/>
    <w:rsid w:val="00335CED"/>
    <w:rsid w:val="0033626A"/>
    <w:rsid w:val="00336380"/>
    <w:rsid w:val="003363E5"/>
    <w:rsid w:val="00336482"/>
    <w:rsid w:val="003364A6"/>
    <w:rsid w:val="003364C3"/>
    <w:rsid w:val="0033658C"/>
    <w:rsid w:val="00336764"/>
    <w:rsid w:val="00336800"/>
    <w:rsid w:val="00336D37"/>
    <w:rsid w:val="00336F23"/>
    <w:rsid w:val="00336FC1"/>
    <w:rsid w:val="00337141"/>
    <w:rsid w:val="0033729E"/>
    <w:rsid w:val="003372D6"/>
    <w:rsid w:val="00337379"/>
    <w:rsid w:val="00337685"/>
    <w:rsid w:val="003376DC"/>
    <w:rsid w:val="00337899"/>
    <w:rsid w:val="00337A94"/>
    <w:rsid w:val="00337D61"/>
    <w:rsid w:val="00340198"/>
    <w:rsid w:val="003402C5"/>
    <w:rsid w:val="003404F2"/>
    <w:rsid w:val="00340724"/>
    <w:rsid w:val="0034078B"/>
    <w:rsid w:val="0034091B"/>
    <w:rsid w:val="00340B84"/>
    <w:rsid w:val="00340C2F"/>
    <w:rsid w:val="00340D5F"/>
    <w:rsid w:val="00340FE8"/>
    <w:rsid w:val="003414D8"/>
    <w:rsid w:val="003415DB"/>
    <w:rsid w:val="003418AA"/>
    <w:rsid w:val="00341A7F"/>
    <w:rsid w:val="00341A80"/>
    <w:rsid w:val="00341B35"/>
    <w:rsid w:val="00341D95"/>
    <w:rsid w:val="00341E89"/>
    <w:rsid w:val="00342292"/>
    <w:rsid w:val="0034241D"/>
    <w:rsid w:val="003425FA"/>
    <w:rsid w:val="0034285A"/>
    <w:rsid w:val="00342A35"/>
    <w:rsid w:val="00342A6A"/>
    <w:rsid w:val="00342AEC"/>
    <w:rsid w:val="00342AF6"/>
    <w:rsid w:val="00342E75"/>
    <w:rsid w:val="00342FEA"/>
    <w:rsid w:val="003430B5"/>
    <w:rsid w:val="00343395"/>
    <w:rsid w:val="00343578"/>
    <w:rsid w:val="00343753"/>
    <w:rsid w:val="003439C4"/>
    <w:rsid w:val="00343AEB"/>
    <w:rsid w:val="00343B7A"/>
    <w:rsid w:val="00343E47"/>
    <w:rsid w:val="0034407F"/>
    <w:rsid w:val="00344214"/>
    <w:rsid w:val="00344393"/>
    <w:rsid w:val="00344411"/>
    <w:rsid w:val="003445EE"/>
    <w:rsid w:val="00344815"/>
    <w:rsid w:val="003448A5"/>
    <w:rsid w:val="003449EA"/>
    <w:rsid w:val="00344BB0"/>
    <w:rsid w:val="00344C42"/>
    <w:rsid w:val="00344F45"/>
    <w:rsid w:val="0034548C"/>
    <w:rsid w:val="0034569F"/>
    <w:rsid w:val="003457DD"/>
    <w:rsid w:val="003458AA"/>
    <w:rsid w:val="003458DD"/>
    <w:rsid w:val="00345B16"/>
    <w:rsid w:val="00345E09"/>
    <w:rsid w:val="003463D5"/>
    <w:rsid w:val="003463DA"/>
    <w:rsid w:val="0034652E"/>
    <w:rsid w:val="00346556"/>
    <w:rsid w:val="00346565"/>
    <w:rsid w:val="003465FE"/>
    <w:rsid w:val="003467CF"/>
    <w:rsid w:val="00346BF1"/>
    <w:rsid w:val="00346C71"/>
    <w:rsid w:val="00346D23"/>
    <w:rsid w:val="0034723C"/>
    <w:rsid w:val="0034723D"/>
    <w:rsid w:val="00347293"/>
    <w:rsid w:val="0034738C"/>
    <w:rsid w:val="00347696"/>
    <w:rsid w:val="00347B45"/>
    <w:rsid w:val="00347E2C"/>
    <w:rsid w:val="003504FC"/>
    <w:rsid w:val="00350525"/>
    <w:rsid w:val="00350547"/>
    <w:rsid w:val="0035063E"/>
    <w:rsid w:val="003506AD"/>
    <w:rsid w:val="003506DD"/>
    <w:rsid w:val="003506E1"/>
    <w:rsid w:val="00350762"/>
    <w:rsid w:val="0035085A"/>
    <w:rsid w:val="00350A26"/>
    <w:rsid w:val="00350A2C"/>
    <w:rsid w:val="00350C5B"/>
    <w:rsid w:val="00350C85"/>
    <w:rsid w:val="00350D01"/>
    <w:rsid w:val="00350D7E"/>
    <w:rsid w:val="00350E21"/>
    <w:rsid w:val="00350E4E"/>
    <w:rsid w:val="00350E7D"/>
    <w:rsid w:val="003514D9"/>
    <w:rsid w:val="003516C9"/>
    <w:rsid w:val="003517DD"/>
    <w:rsid w:val="00351BF3"/>
    <w:rsid w:val="00351D42"/>
    <w:rsid w:val="00351DB1"/>
    <w:rsid w:val="00352058"/>
    <w:rsid w:val="00352063"/>
    <w:rsid w:val="00352184"/>
    <w:rsid w:val="003521FE"/>
    <w:rsid w:val="003523F9"/>
    <w:rsid w:val="00352487"/>
    <w:rsid w:val="003524E0"/>
    <w:rsid w:val="003525BB"/>
    <w:rsid w:val="00352707"/>
    <w:rsid w:val="00352762"/>
    <w:rsid w:val="00352902"/>
    <w:rsid w:val="00352936"/>
    <w:rsid w:val="00352EEA"/>
    <w:rsid w:val="003533E9"/>
    <w:rsid w:val="003534B7"/>
    <w:rsid w:val="00353506"/>
    <w:rsid w:val="0035371E"/>
    <w:rsid w:val="003537F7"/>
    <w:rsid w:val="003538B9"/>
    <w:rsid w:val="00353A25"/>
    <w:rsid w:val="00353B0B"/>
    <w:rsid w:val="00353BF3"/>
    <w:rsid w:val="00353CE9"/>
    <w:rsid w:val="00353CEC"/>
    <w:rsid w:val="00353EE6"/>
    <w:rsid w:val="00354035"/>
    <w:rsid w:val="00354088"/>
    <w:rsid w:val="003540B1"/>
    <w:rsid w:val="00354510"/>
    <w:rsid w:val="00354531"/>
    <w:rsid w:val="00354717"/>
    <w:rsid w:val="00354744"/>
    <w:rsid w:val="0035479B"/>
    <w:rsid w:val="00354A3C"/>
    <w:rsid w:val="00354C7F"/>
    <w:rsid w:val="00354F27"/>
    <w:rsid w:val="003550E4"/>
    <w:rsid w:val="003551B4"/>
    <w:rsid w:val="00355211"/>
    <w:rsid w:val="003553DA"/>
    <w:rsid w:val="0035544F"/>
    <w:rsid w:val="00355BB8"/>
    <w:rsid w:val="00356040"/>
    <w:rsid w:val="0035614F"/>
    <w:rsid w:val="003561D7"/>
    <w:rsid w:val="003567E7"/>
    <w:rsid w:val="00356915"/>
    <w:rsid w:val="003569D0"/>
    <w:rsid w:val="00356C0A"/>
    <w:rsid w:val="00356C8F"/>
    <w:rsid w:val="00357142"/>
    <w:rsid w:val="0035717A"/>
    <w:rsid w:val="003571CB"/>
    <w:rsid w:val="0035734B"/>
    <w:rsid w:val="00357364"/>
    <w:rsid w:val="003577C1"/>
    <w:rsid w:val="00357825"/>
    <w:rsid w:val="0035799B"/>
    <w:rsid w:val="00357A88"/>
    <w:rsid w:val="00357A9B"/>
    <w:rsid w:val="00357EDC"/>
    <w:rsid w:val="00360A2F"/>
    <w:rsid w:val="00360D07"/>
    <w:rsid w:val="00360FFA"/>
    <w:rsid w:val="0036117B"/>
    <w:rsid w:val="003611FC"/>
    <w:rsid w:val="0036121A"/>
    <w:rsid w:val="0036129B"/>
    <w:rsid w:val="0036159E"/>
    <w:rsid w:val="00361685"/>
    <w:rsid w:val="003619D3"/>
    <w:rsid w:val="00361ABD"/>
    <w:rsid w:val="00361E45"/>
    <w:rsid w:val="00361EEF"/>
    <w:rsid w:val="00361F10"/>
    <w:rsid w:val="00361FA8"/>
    <w:rsid w:val="00362209"/>
    <w:rsid w:val="00362449"/>
    <w:rsid w:val="003625E5"/>
    <w:rsid w:val="00362654"/>
    <w:rsid w:val="00362825"/>
    <w:rsid w:val="00362900"/>
    <w:rsid w:val="00362928"/>
    <w:rsid w:val="00362A7C"/>
    <w:rsid w:val="00362B1A"/>
    <w:rsid w:val="00362BCB"/>
    <w:rsid w:val="00362D20"/>
    <w:rsid w:val="00362E43"/>
    <w:rsid w:val="00362EA3"/>
    <w:rsid w:val="00362ECA"/>
    <w:rsid w:val="003632E1"/>
    <w:rsid w:val="003633C2"/>
    <w:rsid w:val="003636E9"/>
    <w:rsid w:val="00363701"/>
    <w:rsid w:val="003637B8"/>
    <w:rsid w:val="00363A9D"/>
    <w:rsid w:val="00363D93"/>
    <w:rsid w:val="00363F62"/>
    <w:rsid w:val="003641DE"/>
    <w:rsid w:val="0036429E"/>
    <w:rsid w:val="00364307"/>
    <w:rsid w:val="003643CE"/>
    <w:rsid w:val="00364705"/>
    <w:rsid w:val="00364A92"/>
    <w:rsid w:val="00364BA1"/>
    <w:rsid w:val="00364C67"/>
    <w:rsid w:val="00364E78"/>
    <w:rsid w:val="00365180"/>
    <w:rsid w:val="003652C8"/>
    <w:rsid w:val="0036551E"/>
    <w:rsid w:val="00365843"/>
    <w:rsid w:val="00365AE7"/>
    <w:rsid w:val="00365B1C"/>
    <w:rsid w:val="00365DA0"/>
    <w:rsid w:val="0036607F"/>
    <w:rsid w:val="00366134"/>
    <w:rsid w:val="00366161"/>
    <w:rsid w:val="003663EC"/>
    <w:rsid w:val="003667AF"/>
    <w:rsid w:val="003667B4"/>
    <w:rsid w:val="00366912"/>
    <w:rsid w:val="00366A00"/>
    <w:rsid w:val="00366A2F"/>
    <w:rsid w:val="00366C67"/>
    <w:rsid w:val="00366D14"/>
    <w:rsid w:val="00366EE3"/>
    <w:rsid w:val="00366FC7"/>
    <w:rsid w:val="0036735F"/>
    <w:rsid w:val="00367438"/>
    <w:rsid w:val="003675DF"/>
    <w:rsid w:val="00367768"/>
    <w:rsid w:val="00367771"/>
    <w:rsid w:val="00367AD4"/>
    <w:rsid w:val="00367ADD"/>
    <w:rsid w:val="00367BE8"/>
    <w:rsid w:val="00367C7B"/>
    <w:rsid w:val="00367D4F"/>
    <w:rsid w:val="00367DBB"/>
    <w:rsid w:val="0037022B"/>
    <w:rsid w:val="00370706"/>
    <w:rsid w:val="00370950"/>
    <w:rsid w:val="00370AE4"/>
    <w:rsid w:val="00370C86"/>
    <w:rsid w:val="00370D3D"/>
    <w:rsid w:val="00370D7B"/>
    <w:rsid w:val="00370EE8"/>
    <w:rsid w:val="00370F88"/>
    <w:rsid w:val="0037114E"/>
    <w:rsid w:val="00371244"/>
    <w:rsid w:val="003713E9"/>
    <w:rsid w:val="00371516"/>
    <w:rsid w:val="003716E1"/>
    <w:rsid w:val="0037183E"/>
    <w:rsid w:val="00371938"/>
    <w:rsid w:val="00371B8D"/>
    <w:rsid w:val="00371BBD"/>
    <w:rsid w:val="00371DB4"/>
    <w:rsid w:val="00371ED1"/>
    <w:rsid w:val="00371F29"/>
    <w:rsid w:val="00371FE6"/>
    <w:rsid w:val="00372043"/>
    <w:rsid w:val="00372125"/>
    <w:rsid w:val="0037222C"/>
    <w:rsid w:val="00372337"/>
    <w:rsid w:val="0037240F"/>
    <w:rsid w:val="003727B2"/>
    <w:rsid w:val="003728D9"/>
    <w:rsid w:val="00372AEA"/>
    <w:rsid w:val="00372BBB"/>
    <w:rsid w:val="00372BBE"/>
    <w:rsid w:val="00372BD7"/>
    <w:rsid w:val="00373076"/>
    <w:rsid w:val="003731F0"/>
    <w:rsid w:val="00373376"/>
    <w:rsid w:val="0037340A"/>
    <w:rsid w:val="003734F5"/>
    <w:rsid w:val="003738FB"/>
    <w:rsid w:val="0037396F"/>
    <w:rsid w:val="00373B97"/>
    <w:rsid w:val="00373CB0"/>
    <w:rsid w:val="00373D1C"/>
    <w:rsid w:val="00373D5E"/>
    <w:rsid w:val="00373E74"/>
    <w:rsid w:val="00373EFE"/>
    <w:rsid w:val="0037421D"/>
    <w:rsid w:val="0037427A"/>
    <w:rsid w:val="0037443D"/>
    <w:rsid w:val="003744A2"/>
    <w:rsid w:val="0037455F"/>
    <w:rsid w:val="00374827"/>
    <w:rsid w:val="00374B82"/>
    <w:rsid w:val="00374D4C"/>
    <w:rsid w:val="00374E54"/>
    <w:rsid w:val="00374EB6"/>
    <w:rsid w:val="00374F9F"/>
    <w:rsid w:val="003751B2"/>
    <w:rsid w:val="00375291"/>
    <w:rsid w:val="00375EFB"/>
    <w:rsid w:val="00376152"/>
    <w:rsid w:val="003761F6"/>
    <w:rsid w:val="00376422"/>
    <w:rsid w:val="003766D8"/>
    <w:rsid w:val="003768C3"/>
    <w:rsid w:val="003769AC"/>
    <w:rsid w:val="00376EFC"/>
    <w:rsid w:val="00376FF1"/>
    <w:rsid w:val="00377452"/>
    <w:rsid w:val="00377557"/>
    <w:rsid w:val="00377620"/>
    <w:rsid w:val="0037771E"/>
    <w:rsid w:val="003778E4"/>
    <w:rsid w:val="0037793C"/>
    <w:rsid w:val="0037799E"/>
    <w:rsid w:val="00377AAB"/>
    <w:rsid w:val="00377AF0"/>
    <w:rsid w:val="00377C02"/>
    <w:rsid w:val="00380169"/>
    <w:rsid w:val="003806E5"/>
    <w:rsid w:val="003807A7"/>
    <w:rsid w:val="00380860"/>
    <w:rsid w:val="00380E1B"/>
    <w:rsid w:val="00381466"/>
    <w:rsid w:val="0038161A"/>
    <w:rsid w:val="003819B8"/>
    <w:rsid w:val="003819C4"/>
    <w:rsid w:val="00381A00"/>
    <w:rsid w:val="00381A10"/>
    <w:rsid w:val="00381B7D"/>
    <w:rsid w:val="00381C3C"/>
    <w:rsid w:val="00381CDD"/>
    <w:rsid w:val="003821C7"/>
    <w:rsid w:val="00382F5A"/>
    <w:rsid w:val="00382FB6"/>
    <w:rsid w:val="00382FBA"/>
    <w:rsid w:val="00383061"/>
    <w:rsid w:val="003831B7"/>
    <w:rsid w:val="0038348E"/>
    <w:rsid w:val="003834AB"/>
    <w:rsid w:val="00383BDE"/>
    <w:rsid w:val="00383DC6"/>
    <w:rsid w:val="00383FAF"/>
    <w:rsid w:val="0038404C"/>
    <w:rsid w:val="003849FE"/>
    <w:rsid w:val="00384BEC"/>
    <w:rsid w:val="00384CC8"/>
    <w:rsid w:val="00384DA3"/>
    <w:rsid w:val="00384DB2"/>
    <w:rsid w:val="00384E08"/>
    <w:rsid w:val="00384E48"/>
    <w:rsid w:val="00384E4B"/>
    <w:rsid w:val="00384F6C"/>
    <w:rsid w:val="003852FC"/>
    <w:rsid w:val="003854C8"/>
    <w:rsid w:val="0038559D"/>
    <w:rsid w:val="003856DC"/>
    <w:rsid w:val="003857F3"/>
    <w:rsid w:val="003858C9"/>
    <w:rsid w:val="00385A37"/>
    <w:rsid w:val="00385A56"/>
    <w:rsid w:val="00385A78"/>
    <w:rsid w:val="00385BC9"/>
    <w:rsid w:val="00385D0E"/>
    <w:rsid w:val="00385EB8"/>
    <w:rsid w:val="00385F87"/>
    <w:rsid w:val="003863C8"/>
    <w:rsid w:val="00386420"/>
    <w:rsid w:val="0038654B"/>
    <w:rsid w:val="003866E3"/>
    <w:rsid w:val="003868ED"/>
    <w:rsid w:val="00386C2B"/>
    <w:rsid w:val="00386CE1"/>
    <w:rsid w:val="00386FB3"/>
    <w:rsid w:val="003871A9"/>
    <w:rsid w:val="003872B2"/>
    <w:rsid w:val="003877FA"/>
    <w:rsid w:val="0038783B"/>
    <w:rsid w:val="00387C0B"/>
    <w:rsid w:val="00387FB0"/>
    <w:rsid w:val="0039003D"/>
    <w:rsid w:val="00390057"/>
    <w:rsid w:val="00390092"/>
    <w:rsid w:val="003901BC"/>
    <w:rsid w:val="00390279"/>
    <w:rsid w:val="00390392"/>
    <w:rsid w:val="003904F4"/>
    <w:rsid w:val="0039066F"/>
    <w:rsid w:val="00390714"/>
    <w:rsid w:val="00390799"/>
    <w:rsid w:val="0039079E"/>
    <w:rsid w:val="0039086A"/>
    <w:rsid w:val="003908B8"/>
    <w:rsid w:val="00390949"/>
    <w:rsid w:val="00390B33"/>
    <w:rsid w:val="00390C60"/>
    <w:rsid w:val="00391012"/>
    <w:rsid w:val="00391016"/>
    <w:rsid w:val="0039127B"/>
    <w:rsid w:val="00391453"/>
    <w:rsid w:val="00391475"/>
    <w:rsid w:val="003914B0"/>
    <w:rsid w:val="003919BF"/>
    <w:rsid w:val="00391A35"/>
    <w:rsid w:val="00391BFE"/>
    <w:rsid w:val="00391E75"/>
    <w:rsid w:val="00391EC0"/>
    <w:rsid w:val="00391F24"/>
    <w:rsid w:val="00391FBA"/>
    <w:rsid w:val="00392009"/>
    <w:rsid w:val="00392181"/>
    <w:rsid w:val="00392603"/>
    <w:rsid w:val="00392A32"/>
    <w:rsid w:val="00392A5F"/>
    <w:rsid w:val="00392C72"/>
    <w:rsid w:val="00392D44"/>
    <w:rsid w:val="00393148"/>
    <w:rsid w:val="00393292"/>
    <w:rsid w:val="0039346C"/>
    <w:rsid w:val="00393569"/>
    <w:rsid w:val="0039368B"/>
    <w:rsid w:val="00393AAD"/>
    <w:rsid w:val="00393BB1"/>
    <w:rsid w:val="00393DC0"/>
    <w:rsid w:val="00393EB4"/>
    <w:rsid w:val="00393F4D"/>
    <w:rsid w:val="00394024"/>
    <w:rsid w:val="00394424"/>
    <w:rsid w:val="00394709"/>
    <w:rsid w:val="0039486F"/>
    <w:rsid w:val="003948EB"/>
    <w:rsid w:val="00394921"/>
    <w:rsid w:val="00394985"/>
    <w:rsid w:val="00394A72"/>
    <w:rsid w:val="00394AEA"/>
    <w:rsid w:val="003956B4"/>
    <w:rsid w:val="003957DD"/>
    <w:rsid w:val="003958FF"/>
    <w:rsid w:val="003959B1"/>
    <w:rsid w:val="00395B8F"/>
    <w:rsid w:val="00395CC2"/>
    <w:rsid w:val="00395D42"/>
    <w:rsid w:val="00396020"/>
    <w:rsid w:val="00396026"/>
    <w:rsid w:val="003963DE"/>
    <w:rsid w:val="003966BB"/>
    <w:rsid w:val="003969D0"/>
    <w:rsid w:val="00396D3E"/>
    <w:rsid w:val="00396E7E"/>
    <w:rsid w:val="00396FEE"/>
    <w:rsid w:val="003970CD"/>
    <w:rsid w:val="0039745E"/>
    <w:rsid w:val="003974AA"/>
    <w:rsid w:val="003975E9"/>
    <w:rsid w:val="003975EB"/>
    <w:rsid w:val="00397711"/>
    <w:rsid w:val="00397762"/>
    <w:rsid w:val="00397A8C"/>
    <w:rsid w:val="00397B6E"/>
    <w:rsid w:val="00397F44"/>
    <w:rsid w:val="00397FF3"/>
    <w:rsid w:val="003A010F"/>
    <w:rsid w:val="003A016E"/>
    <w:rsid w:val="003A07C0"/>
    <w:rsid w:val="003A07F6"/>
    <w:rsid w:val="003A0906"/>
    <w:rsid w:val="003A0930"/>
    <w:rsid w:val="003A1275"/>
    <w:rsid w:val="003A1951"/>
    <w:rsid w:val="003A1D8C"/>
    <w:rsid w:val="003A1D9F"/>
    <w:rsid w:val="003A1E2B"/>
    <w:rsid w:val="003A2180"/>
    <w:rsid w:val="003A23FA"/>
    <w:rsid w:val="003A248C"/>
    <w:rsid w:val="003A28CB"/>
    <w:rsid w:val="003A28E7"/>
    <w:rsid w:val="003A2C5F"/>
    <w:rsid w:val="003A2DE2"/>
    <w:rsid w:val="003A3053"/>
    <w:rsid w:val="003A31C0"/>
    <w:rsid w:val="003A3383"/>
    <w:rsid w:val="003A3395"/>
    <w:rsid w:val="003A33B7"/>
    <w:rsid w:val="003A35CD"/>
    <w:rsid w:val="003A3766"/>
    <w:rsid w:val="003A381E"/>
    <w:rsid w:val="003A39C4"/>
    <w:rsid w:val="003A3AA7"/>
    <w:rsid w:val="003A3D11"/>
    <w:rsid w:val="003A3DB3"/>
    <w:rsid w:val="003A3F78"/>
    <w:rsid w:val="003A41B5"/>
    <w:rsid w:val="003A4276"/>
    <w:rsid w:val="003A4300"/>
    <w:rsid w:val="003A4316"/>
    <w:rsid w:val="003A45CD"/>
    <w:rsid w:val="003A49E1"/>
    <w:rsid w:val="003A4B03"/>
    <w:rsid w:val="003A4C0C"/>
    <w:rsid w:val="003A4D4E"/>
    <w:rsid w:val="003A4EEA"/>
    <w:rsid w:val="003A5143"/>
    <w:rsid w:val="003A515E"/>
    <w:rsid w:val="003A5268"/>
    <w:rsid w:val="003A561E"/>
    <w:rsid w:val="003A562A"/>
    <w:rsid w:val="003A5BDF"/>
    <w:rsid w:val="003A5CBD"/>
    <w:rsid w:val="003A5DC0"/>
    <w:rsid w:val="003A5ECE"/>
    <w:rsid w:val="003A611C"/>
    <w:rsid w:val="003A61A5"/>
    <w:rsid w:val="003A6371"/>
    <w:rsid w:val="003A64F3"/>
    <w:rsid w:val="003A6925"/>
    <w:rsid w:val="003A6A01"/>
    <w:rsid w:val="003A6BC9"/>
    <w:rsid w:val="003A6C5D"/>
    <w:rsid w:val="003A6E58"/>
    <w:rsid w:val="003A706A"/>
    <w:rsid w:val="003A70AE"/>
    <w:rsid w:val="003A72B4"/>
    <w:rsid w:val="003A74AD"/>
    <w:rsid w:val="003A7503"/>
    <w:rsid w:val="003A75F2"/>
    <w:rsid w:val="003A765F"/>
    <w:rsid w:val="003A7EF2"/>
    <w:rsid w:val="003B004F"/>
    <w:rsid w:val="003B0813"/>
    <w:rsid w:val="003B0B6B"/>
    <w:rsid w:val="003B0ED2"/>
    <w:rsid w:val="003B0F20"/>
    <w:rsid w:val="003B0F40"/>
    <w:rsid w:val="003B0F9D"/>
    <w:rsid w:val="003B113D"/>
    <w:rsid w:val="003B11F7"/>
    <w:rsid w:val="003B14A7"/>
    <w:rsid w:val="003B1507"/>
    <w:rsid w:val="003B1626"/>
    <w:rsid w:val="003B185E"/>
    <w:rsid w:val="003B186F"/>
    <w:rsid w:val="003B1890"/>
    <w:rsid w:val="003B1AA0"/>
    <w:rsid w:val="003B1B5A"/>
    <w:rsid w:val="003B1C7A"/>
    <w:rsid w:val="003B20E3"/>
    <w:rsid w:val="003B23D6"/>
    <w:rsid w:val="003B2405"/>
    <w:rsid w:val="003B25FE"/>
    <w:rsid w:val="003B265D"/>
    <w:rsid w:val="003B268F"/>
    <w:rsid w:val="003B29ED"/>
    <w:rsid w:val="003B2B1C"/>
    <w:rsid w:val="003B2B8C"/>
    <w:rsid w:val="003B2BBF"/>
    <w:rsid w:val="003B2FCF"/>
    <w:rsid w:val="003B31B9"/>
    <w:rsid w:val="003B31FD"/>
    <w:rsid w:val="003B32F2"/>
    <w:rsid w:val="003B3396"/>
    <w:rsid w:val="003B4004"/>
    <w:rsid w:val="003B402A"/>
    <w:rsid w:val="003B412C"/>
    <w:rsid w:val="003B4152"/>
    <w:rsid w:val="003B424F"/>
    <w:rsid w:val="003B45FF"/>
    <w:rsid w:val="003B478B"/>
    <w:rsid w:val="003B478C"/>
    <w:rsid w:val="003B48F4"/>
    <w:rsid w:val="003B4C31"/>
    <w:rsid w:val="003B4CE8"/>
    <w:rsid w:val="003B5097"/>
    <w:rsid w:val="003B5193"/>
    <w:rsid w:val="003B52C6"/>
    <w:rsid w:val="003B538F"/>
    <w:rsid w:val="003B56E9"/>
    <w:rsid w:val="003B5A24"/>
    <w:rsid w:val="003B5BAC"/>
    <w:rsid w:val="003B60B6"/>
    <w:rsid w:val="003B6193"/>
    <w:rsid w:val="003B6414"/>
    <w:rsid w:val="003B6494"/>
    <w:rsid w:val="003B64D2"/>
    <w:rsid w:val="003B6690"/>
    <w:rsid w:val="003B66D8"/>
    <w:rsid w:val="003B68B4"/>
    <w:rsid w:val="003B6A5F"/>
    <w:rsid w:val="003B6B61"/>
    <w:rsid w:val="003B6F9C"/>
    <w:rsid w:val="003B704B"/>
    <w:rsid w:val="003B7065"/>
    <w:rsid w:val="003B727C"/>
    <w:rsid w:val="003B72DD"/>
    <w:rsid w:val="003B743E"/>
    <w:rsid w:val="003B77EF"/>
    <w:rsid w:val="003B7893"/>
    <w:rsid w:val="003B795D"/>
    <w:rsid w:val="003B7A42"/>
    <w:rsid w:val="003B7C01"/>
    <w:rsid w:val="003B7C4C"/>
    <w:rsid w:val="003B7EB3"/>
    <w:rsid w:val="003B7F1D"/>
    <w:rsid w:val="003C0031"/>
    <w:rsid w:val="003C024F"/>
    <w:rsid w:val="003C0709"/>
    <w:rsid w:val="003C08C5"/>
    <w:rsid w:val="003C0CAA"/>
    <w:rsid w:val="003C1028"/>
    <w:rsid w:val="003C13B1"/>
    <w:rsid w:val="003C15C2"/>
    <w:rsid w:val="003C1967"/>
    <w:rsid w:val="003C1B0B"/>
    <w:rsid w:val="003C1B45"/>
    <w:rsid w:val="003C1B6F"/>
    <w:rsid w:val="003C1BD3"/>
    <w:rsid w:val="003C1C40"/>
    <w:rsid w:val="003C1E06"/>
    <w:rsid w:val="003C1F38"/>
    <w:rsid w:val="003C2240"/>
    <w:rsid w:val="003C22DF"/>
    <w:rsid w:val="003C25B5"/>
    <w:rsid w:val="003C25E7"/>
    <w:rsid w:val="003C289D"/>
    <w:rsid w:val="003C2936"/>
    <w:rsid w:val="003C2BB1"/>
    <w:rsid w:val="003C2D6F"/>
    <w:rsid w:val="003C2DD9"/>
    <w:rsid w:val="003C2E00"/>
    <w:rsid w:val="003C2E46"/>
    <w:rsid w:val="003C3038"/>
    <w:rsid w:val="003C30D0"/>
    <w:rsid w:val="003C3294"/>
    <w:rsid w:val="003C32A3"/>
    <w:rsid w:val="003C37F7"/>
    <w:rsid w:val="003C3A82"/>
    <w:rsid w:val="003C3D90"/>
    <w:rsid w:val="003C3F82"/>
    <w:rsid w:val="003C40AB"/>
    <w:rsid w:val="003C4585"/>
    <w:rsid w:val="003C497C"/>
    <w:rsid w:val="003C4AD1"/>
    <w:rsid w:val="003C508C"/>
    <w:rsid w:val="003C5453"/>
    <w:rsid w:val="003C56AE"/>
    <w:rsid w:val="003C59CC"/>
    <w:rsid w:val="003C59E2"/>
    <w:rsid w:val="003C5C50"/>
    <w:rsid w:val="003C5DDF"/>
    <w:rsid w:val="003C5FF1"/>
    <w:rsid w:val="003C5FF7"/>
    <w:rsid w:val="003C6078"/>
    <w:rsid w:val="003C6204"/>
    <w:rsid w:val="003C63C2"/>
    <w:rsid w:val="003C66C6"/>
    <w:rsid w:val="003C6849"/>
    <w:rsid w:val="003C6AFB"/>
    <w:rsid w:val="003C6BBE"/>
    <w:rsid w:val="003C6D30"/>
    <w:rsid w:val="003C6F23"/>
    <w:rsid w:val="003C72A3"/>
    <w:rsid w:val="003C73E5"/>
    <w:rsid w:val="003C75FB"/>
    <w:rsid w:val="003C7B08"/>
    <w:rsid w:val="003C7C97"/>
    <w:rsid w:val="003C7CDE"/>
    <w:rsid w:val="003C7D3E"/>
    <w:rsid w:val="003C7D61"/>
    <w:rsid w:val="003D0432"/>
    <w:rsid w:val="003D05B1"/>
    <w:rsid w:val="003D0683"/>
    <w:rsid w:val="003D077C"/>
    <w:rsid w:val="003D07FC"/>
    <w:rsid w:val="003D0861"/>
    <w:rsid w:val="003D08D4"/>
    <w:rsid w:val="003D098B"/>
    <w:rsid w:val="003D0D5B"/>
    <w:rsid w:val="003D0F7B"/>
    <w:rsid w:val="003D1316"/>
    <w:rsid w:val="003D13A7"/>
    <w:rsid w:val="003D1BD3"/>
    <w:rsid w:val="003D1DA5"/>
    <w:rsid w:val="003D1E1C"/>
    <w:rsid w:val="003D2221"/>
    <w:rsid w:val="003D2243"/>
    <w:rsid w:val="003D2387"/>
    <w:rsid w:val="003D283C"/>
    <w:rsid w:val="003D2960"/>
    <w:rsid w:val="003D2EB6"/>
    <w:rsid w:val="003D3107"/>
    <w:rsid w:val="003D3194"/>
    <w:rsid w:val="003D325C"/>
    <w:rsid w:val="003D32AB"/>
    <w:rsid w:val="003D3622"/>
    <w:rsid w:val="003D3688"/>
    <w:rsid w:val="003D36C1"/>
    <w:rsid w:val="003D395A"/>
    <w:rsid w:val="003D3D5E"/>
    <w:rsid w:val="003D3F35"/>
    <w:rsid w:val="003D40BD"/>
    <w:rsid w:val="003D422C"/>
    <w:rsid w:val="003D43BB"/>
    <w:rsid w:val="003D461F"/>
    <w:rsid w:val="003D47A2"/>
    <w:rsid w:val="003D4910"/>
    <w:rsid w:val="003D4B69"/>
    <w:rsid w:val="003D515A"/>
    <w:rsid w:val="003D51CD"/>
    <w:rsid w:val="003D528A"/>
    <w:rsid w:val="003D53F9"/>
    <w:rsid w:val="003D54FB"/>
    <w:rsid w:val="003D5526"/>
    <w:rsid w:val="003D5CBA"/>
    <w:rsid w:val="003D610C"/>
    <w:rsid w:val="003D6210"/>
    <w:rsid w:val="003D6620"/>
    <w:rsid w:val="003D6786"/>
    <w:rsid w:val="003D6854"/>
    <w:rsid w:val="003D6863"/>
    <w:rsid w:val="003D6A0C"/>
    <w:rsid w:val="003D6AD0"/>
    <w:rsid w:val="003D6BAF"/>
    <w:rsid w:val="003D6BC2"/>
    <w:rsid w:val="003D6C85"/>
    <w:rsid w:val="003D6DD5"/>
    <w:rsid w:val="003D6F79"/>
    <w:rsid w:val="003D6FAD"/>
    <w:rsid w:val="003D7198"/>
    <w:rsid w:val="003D71FC"/>
    <w:rsid w:val="003D734C"/>
    <w:rsid w:val="003D745A"/>
    <w:rsid w:val="003D749F"/>
    <w:rsid w:val="003D75C5"/>
    <w:rsid w:val="003D7841"/>
    <w:rsid w:val="003D791F"/>
    <w:rsid w:val="003D7938"/>
    <w:rsid w:val="003D7C62"/>
    <w:rsid w:val="003D7CEB"/>
    <w:rsid w:val="003D7F9A"/>
    <w:rsid w:val="003E0078"/>
    <w:rsid w:val="003E0228"/>
    <w:rsid w:val="003E04A0"/>
    <w:rsid w:val="003E0536"/>
    <w:rsid w:val="003E060F"/>
    <w:rsid w:val="003E064B"/>
    <w:rsid w:val="003E07DE"/>
    <w:rsid w:val="003E07F8"/>
    <w:rsid w:val="003E0B3A"/>
    <w:rsid w:val="003E0D27"/>
    <w:rsid w:val="003E0E61"/>
    <w:rsid w:val="003E12E7"/>
    <w:rsid w:val="003E143C"/>
    <w:rsid w:val="003E14A6"/>
    <w:rsid w:val="003E14FE"/>
    <w:rsid w:val="003E15DE"/>
    <w:rsid w:val="003E1788"/>
    <w:rsid w:val="003E17EE"/>
    <w:rsid w:val="003E1B94"/>
    <w:rsid w:val="003E1C42"/>
    <w:rsid w:val="003E21BB"/>
    <w:rsid w:val="003E2325"/>
    <w:rsid w:val="003E23C1"/>
    <w:rsid w:val="003E28EB"/>
    <w:rsid w:val="003E2CE3"/>
    <w:rsid w:val="003E2CE5"/>
    <w:rsid w:val="003E2D5C"/>
    <w:rsid w:val="003E2F03"/>
    <w:rsid w:val="003E3259"/>
    <w:rsid w:val="003E338A"/>
    <w:rsid w:val="003E33F8"/>
    <w:rsid w:val="003E34F1"/>
    <w:rsid w:val="003E38B8"/>
    <w:rsid w:val="003E3AE7"/>
    <w:rsid w:val="003E3B92"/>
    <w:rsid w:val="003E3CF2"/>
    <w:rsid w:val="003E3E23"/>
    <w:rsid w:val="003E3E27"/>
    <w:rsid w:val="003E421E"/>
    <w:rsid w:val="003E4445"/>
    <w:rsid w:val="003E472B"/>
    <w:rsid w:val="003E4902"/>
    <w:rsid w:val="003E4A6C"/>
    <w:rsid w:val="003E4BCE"/>
    <w:rsid w:val="003E4DCC"/>
    <w:rsid w:val="003E5554"/>
    <w:rsid w:val="003E565D"/>
    <w:rsid w:val="003E56DC"/>
    <w:rsid w:val="003E57FA"/>
    <w:rsid w:val="003E581C"/>
    <w:rsid w:val="003E59AA"/>
    <w:rsid w:val="003E5CEA"/>
    <w:rsid w:val="003E5D24"/>
    <w:rsid w:val="003E5DC9"/>
    <w:rsid w:val="003E5FF4"/>
    <w:rsid w:val="003E6179"/>
    <w:rsid w:val="003E6432"/>
    <w:rsid w:val="003E643D"/>
    <w:rsid w:val="003E6530"/>
    <w:rsid w:val="003E6791"/>
    <w:rsid w:val="003E6BE3"/>
    <w:rsid w:val="003E6C57"/>
    <w:rsid w:val="003E6CBA"/>
    <w:rsid w:val="003E6CBC"/>
    <w:rsid w:val="003E6D88"/>
    <w:rsid w:val="003E6FF9"/>
    <w:rsid w:val="003E70CF"/>
    <w:rsid w:val="003E717E"/>
    <w:rsid w:val="003E7710"/>
    <w:rsid w:val="003E781C"/>
    <w:rsid w:val="003E7940"/>
    <w:rsid w:val="003E7BC8"/>
    <w:rsid w:val="003E7E64"/>
    <w:rsid w:val="003F016E"/>
    <w:rsid w:val="003F01AB"/>
    <w:rsid w:val="003F01AC"/>
    <w:rsid w:val="003F0890"/>
    <w:rsid w:val="003F0B82"/>
    <w:rsid w:val="003F0C2A"/>
    <w:rsid w:val="003F0DC9"/>
    <w:rsid w:val="003F1159"/>
    <w:rsid w:val="003F11B7"/>
    <w:rsid w:val="003F1294"/>
    <w:rsid w:val="003F1367"/>
    <w:rsid w:val="003F17BA"/>
    <w:rsid w:val="003F191F"/>
    <w:rsid w:val="003F1958"/>
    <w:rsid w:val="003F1A48"/>
    <w:rsid w:val="003F1C38"/>
    <w:rsid w:val="003F1F46"/>
    <w:rsid w:val="003F1FFD"/>
    <w:rsid w:val="003F21EA"/>
    <w:rsid w:val="003F22A2"/>
    <w:rsid w:val="003F2397"/>
    <w:rsid w:val="003F2548"/>
    <w:rsid w:val="003F2564"/>
    <w:rsid w:val="003F25D6"/>
    <w:rsid w:val="003F26D5"/>
    <w:rsid w:val="003F2741"/>
    <w:rsid w:val="003F2B80"/>
    <w:rsid w:val="003F3251"/>
    <w:rsid w:val="003F3356"/>
    <w:rsid w:val="003F34E8"/>
    <w:rsid w:val="003F3607"/>
    <w:rsid w:val="003F3770"/>
    <w:rsid w:val="003F3886"/>
    <w:rsid w:val="003F391E"/>
    <w:rsid w:val="003F3BBD"/>
    <w:rsid w:val="003F3D34"/>
    <w:rsid w:val="003F3E50"/>
    <w:rsid w:val="003F3E68"/>
    <w:rsid w:val="003F3F8C"/>
    <w:rsid w:val="003F3FDB"/>
    <w:rsid w:val="003F42F8"/>
    <w:rsid w:val="003F444B"/>
    <w:rsid w:val="003F484F"/>
    <w:rsid w:val="003F4914"/>
    <w:rsid w:val="003F4B13"/>
    <w:rsid w:val="003F4C48"/>
    <w:rsid w:val="003F5020"/>
    <w:rsid w:val="003F5057"/>
    <w:rsid w:val="003F552D"/>
    <w:rsid w:val="003F561F"/>
    <w:rsid w:val="003F57DF"/>
    <w:rsid w:val="003F58E9"/>
    <w:rsid w:val="003F58EF"/>
    <w:rsid w:val="003F5D91"/>
    <w:rsid w:val="003F604E"/>
    <w:rsid w:val="003F6224"/>
    <w:rsid w:val="003F6585"/>
    <w:rsid w:val="003F6886"/>
    <w:rsid w:val="003F693A"/>
    <w:rsid w:val="003F69E5"/>
    <w:rsid w:val="003F6CE6"/>
    <w:rsid w:val="003F7178"/>
    <w:rsid w:val="003F79E2"/>
    <w:rsid w:val="003F7A31"/>
    <w:rsid w:val="003F7D7B"/>
    <w:rsid w:val="00400053"/>
    <w:rsid w:val="004000F4"/>
    <w:rsid w:val="004001D0"/>
    <w:rsid w:val="00400657"/>
    <w:rsid w:val="004006A6"/>
    <w:rsid w:val="004006BB"/>
    <w:rsid w:val="0040070D"/>
    <w:rsid w:val="004007D8"/>
    <w:rsid w:val="00400A1F"/>
    <w:rsid w:val="00400F9B"/>
    <w:rsid w:val="0040138A"/>
    <w:rsid w:val="004014D1"/>
    <w:rsid w:val="00401FA0"/>
    <w:rsid w:val="00402010"/>
    <w:rsid w:val="00402132"/>
    <w:rsid w:val="00402640"/>
    <w:rsid w:val="0040279C"/>
    <w:rsid w:val="004027F2"/>
    <w:rsid w:val="0040285D"/>
    <w:rsid w:val="004029C0"/>
    <w:rsid w:val="00402F3C"/>
    <w:rsid w:val="004033F1"/>
    <w:rsid w:val="00403472"/>
    <w:rsid w:val="00403577"/>
    <w:rsid w:val="00403764"/>
    <w:rsid w:val="00403874"/>
    <w:rsid w:val="0040387A"/>
    <w:rsid w:val="004038D7"/>
    <w:rsid w:val="004039EB"/>
    <w:rsid w:val="00403A30"/>
    <w:rsid w:val="00404057"/>
    <w:rsid w:val="00404248"/>
    <w:rsid w:val="0040477D"/>
    <w:rsid w:val="004047BE"/>
    <w:rsid w:val="00404B12"/>
    <w:rsid w:val="00404E29"/>
    <w:rsid w:val="00404E5E"/>
    <w:rsid w:val="00404F93"/>
    <w:rsid w:val="00404FD5"/>
    <w:rsid w:val="004053ED"/>
    <w:rsid w:val="004054AA"/>
    <w:rsid w:val="0040560D"/>
    <w:rsid w:val="0040564F"/>
    <w:rsid w:val="0040574C"/>
    <w:rsid w:val="00405913"/>
    <w:rsid w:val="00405CAE"/>
    <w:rsid w:val="00405F6B"/>
    <w:rsid w:val="00406154"/>
    <w:rsid w:val="00406193"/>
    <w:rsid w:val="0040619C"/>
    <w:rsid w:val="004063AD"/>
    <w:rsid w:val="0040653E"/>
    <w:rsid w:val="00406690"/>
    <w:rsid w:val="00406789"/>
    <w:rsid w:val="00406867"/>
    <w:rsid w:val="00406873"/>
    <w:rsid w:val="004069E8"/>
    <w:rsid w:val="00406B7A"/>
    <w:rsid w:val="00406BD4"/>
    <w:rsid w:val="00406F7A"/>
    <w:rsid w:val="00407039"/>
    <w:rsid w:val="004070C1"/>
    <w:rsid w:val="004071FA"/>
    <w:rsid w:val="0040731A"/>
    <w:rsid w:val="00407347"/>
    <w:rsid w:val="00407652"/>
    <w:rsid w:val="00407659"/>
    <w:rsid w:val="00407B0C"/>
    <w:rsid w:val="00407B9C"/>
    <w:rsid w:val="00407E96"/>
    <w:rsid w:val="00407E9D"/>
    <w:rsid w:val="00407EC2"/>
    <w:rsid w:val="004100CE"/>
    <w:rsid w:val="0041045E"/>
    <w:rsid w:val="00410530"/>
    <w:rsid w:val="0041065F"/>
    <w:rsid w:val="0041068E"/>
    <w:rsid w:val="0041080A"/>
    <w:rsid w:val="004108A6"/>
    <w:rsid w:val="00410982"/>
    <w:rsid w:val="004109FF"/>
    <w:rsid w:val="00410AB0"/>
    <w:rsid w:val="00410AF6"/>
    <w:rsid w:val="00410C96"/>
    <w:rsid w:val="00410E33"/>
    <w:rsid w:val="004111EA"/>
    <w:rsid w:val="004117C5"/>
    <w:rsid w:val="004117D8"/>
    <w:rsid w:val="004118C6"/>
    <w:rsid w:val="00411ADD"/>
    <w:rsid w:val="00411B10"/>
    <w:rsid w:val="00411BCC"/>
    <w:rsid w:val="00411ED6"/>
    <w:rsid w:val="00412098"/>
    <w:rsid w:val="004121CA"/>
    <w:rsid w:val="0041276B"/>
    <w:rsid w:val="004127E1"/>
    <w:rsid w:val="00412A52"/>
    <w:rsid w:val="00412A61"/>
    <w:rsid w:val="00412F42"/>
    <w:rsid w:val="00412F80"/>
    <w:rsid w:val="00413000"/>
    <w:rsid w:val="004130E8"/>
    <w:rsid w:val="004135E7"/>
    <w:rsid w:val="00413656"/>
    <w:rsid w:val="004136E5"/>
    <w:rsid w:val="004136F1"/>
    <w:rsid w:val="00413DF2"/>
    <w:rsid w:val="004140AD"/>
    <w:rsid w:val="0041439B"/>
    <w:rsid w:val="004144FE"/>
    <w:rsid w:val="0041474F"/>
    <w:rsid w:val="004147BE"/>
    <w:rsid w:val="004147C2"/>
    <w:rsid w:val="0041482F"/>
    <w:rsid w:val="00414A8F"/>
    <w:rsid w:val="00414C05"/>
    <w:rsid w:val="004153EF"/>
    <w:rsid w:val="00415776"/>
    <w:rsid w:val="004157D6"/>
    <w:rsid w:val="00415D2F"/>
    <w:rsid w:val="00415E0F"/>
    <w:rsid w:val="00416059"/>
    <w:rsid w:val="0041608F"/>
    <w:rsid w:val="00416255"/>
    <w:rsid w:val="0041643C"/>
    <w:rsid w:val="004165F1"/>
    <w:rsid w:val="004168D1"/>
    <w:rsid w:val="00416932"/>
    <w:rsid w:val="00416946"/>
    <w:rsid w:val="00416958"/>
    <w:rsid w:val="00416C1F"/>
    <w:rsid w:val="00416CCF"/>
    <w:rsid w:val="00416E3D"/>
    <w:rsid w:val="00416FA4"/>
    <w:rsid w:val="004173FF"/>
    <w:rsid w:val="00417406"/>
    <w:rsid w:val="004174DD"/>
    <w:rsid w:val="004176AA"/>
    <w:rsid w:val="0041792D"/>
    <w:rsid w:val="00417C8A"/>
    <w:rsid w:val="004202B3"/>
    <w:rsid w:val="004204B5"/>
    <w:rsid w:val="004205A9"/>
    <w:rsid w:val="00420AAD"/>
    <w:rsid w:val="00420D2F"/>
    <w:rsid w:val="00420E8F"/>
    <w:rsid w:val="0042131A"/>
    <w:rsid w:val="00421549"/>
    <w:rsid w:val="004218A4"/>
    <w:rsid w:val="00421A77"/>
    <w:rsid w:val="00421B21"/>
    <w:rsid w:val="00421BE3"/>
    <w:rsid w:val="00421DC4"/>
    <w:rsid w:val="00421E02"/>
    <w:rsid w:val="004220A8"/>
    <w:rsid w:val="00422220"/>
    <w:rsid w:val="0042236A"/>
    <w:rsid w:val="00422553"/>
    <w:rsid w:val="0042270A"/>
    <w:rsid w:val="004227EE"/>
    <w:rsid w:val="00422808"/>
    <w:rsid w:val="00422965"/>
    <w:rsid w:val="00422C98"/>
    <w:rsid w:val="00422F81"/>
    <w:rsid w:val="00422FCC"/>
    <w:rsid w:val="0042305E"/>
    <w:rsid w:val="0042320F"/>
    <w:rsid w:val="004232F7"/>
    <w:rsid w:val="00423C83"/>
    <w:rsid w:val="00423D1F"/>
    <w:rsid w:val="00423E78"/>
    <w:rsid w:val="0042402C"/>
    <w:rsid w:val="00424109"/>
    <w:rsid w:val="004241F1"/>
    <w:rsid w:val="0042437B"/>
    <w:rsid w:val="00424769"/>
    <w:rsid w:val="00424809"/>
    <w:rsid w:val="00424862"/>
    <w:rsid w:val="00424CDB"/>
    <w:rsid w:val="00424EAD"/>
    <w:rsid w:val="00425363"/>
    <w:rsid w:val="004255E3"/>
    <w:rsid w:val="00425876"/>
    <w:rsid w:val="00425C27"/>
    <w:rsid w:val="00425E1B"/>
    <w:rsid w:val="00426138"/>
    <w:rsid w:val="004261B0"/>
    <w:rsid w:val="004263A3"/>
    <w:rsid w:val="004264D0"/>
    <w:rsid w:val="00426643"/>
    <w:rsid w:val="004266CA"/>
    <w:rsid w:val="004268BB"/>
    <w:rsid w:val="00426CD7"/>
    <w:rsid w:val="00426D17"/>
    <w:rsid w:val="00426D6E"/>
    <w:rsid w:val="00426E4B"/>
    <w:rsid w:val="00426FF5"/>
    <w:rsid w:val="0042704C"/>
    <w:rsid w:val="00427228"/>
    <w:rsid w:val="004272FD"/>
    <w:rsid w:val="004275CA"/>
    <w:rsid w:val="00427A5A"/>
    <w:rsid w:val="00427B35"/>
    <w:rsid w:val="00427CA9"/>
    <w:rsid w:val="00427D05"/>
    <w:rsid w:val="00427D41"/>
    <w:rsid w:val="00427FA3"/>
    <w:rsid w:val="00430272"/>
    <w:rsid w:val="004302B1"/>
    <w:rsid w:val="00430386"/>
    <w:rsid w:val="004305E1"/>
    <w:rsid w:val="00430629"/>
    <w:rsid w:val="00430661"/>
    <w:rsid w:val="00430A3E"/>
    <w:rsid w:val="00430A5E"/>
    <w:rsid w:val="00430DBC"/>
    <w:rsid w:val="004310D5"/>
    <w:rsid w:val="004314D4"/>
    <w:rsid w:val="00431AD7"/>
    <w:rsid w:val="00431CD6"/>
    <w:rsid w:val="00431EC4"/>
    <w:rsid w:val="00431F5E"/>
    <w:rsid w:val="00431F6A"/>
    <w:rsid w:val="00431FC1"/>
    <w:rsid w:val="004322E1"/>
    <w:rsid w:val="004323EC"/>
    <w:rsid w:val="0043285F"/>
    <w:rsid w:val="004328AA"/>
    <w:rsid w:val="00432B07"/>
    <w:rsid w:val="00432F9B"/>
    <w:rsid w:val="00433126"/>
    <w:rsid w:val="0043316B"/>
    <w:rsid w:val="00433382"/>
    <w:rsid w:val="004333D1"/>
    <w:rsid w:val="004336AB"/>
    <w:rsid w:val="004339C6"/>
    <w:rsid w:val="00433B12"/>
    <w:rsid w:val="00433FF7"/>
    <w:rsid w:val="0043408D"/>
    <w:rsid w:val="00434129"/>
    <w:rsid w:val="004341BB"/>
    <w:rsid w:val="00434359"/>
    <w:rsid w:val="004343A3"/>
    <w:rsid w:val="004343BA"/>
    <w:rsid w:val="0043444E"/>
    <w:rsid w:val="004344AD"/>
    <w:rsid w:val="00434570"/>
    <w:rsid w:val="004346D8"/>
    <w:rsid w:val="00434C7C"/>
    <w:rsid w:val="004350F2"/>
    <w:rsid w:val="00435110"/>
    <w:rsid w:val="0043518B"/>
    <w:rsid w:val="004351B9"/>
    <w:rsid w:val="00435260"/>
    <w:rsid w:val="0043540C"/>
    <w:rsid w:val="004355EF"/>
    <w:rsid w:val="0043583C"/>
    <w:rsid w:val="0043594A"/>
    <w:rsid w:val="004359E8"/>
    <w:rsid w:val="00435B2F"/>
    <w:rsid w:val="00435B74"/>
    <w:rsid w:val="004360C4"/>
    <w:rsid w:val="00436344"/>
    <w:rsid w:val="004363B2"/>
    <w:rsid w:val="0043655A"/>
    <w:rsid w:val="0043661E"/>
    <w:rsid w:val="00436672"/>
    <w:rsid w:val="004366CA"/>
    <w:rsid w:val="00436847"/>
    <w:rsid w:val="00436952"/>
    <w:rsid w:val="00436A8A"/>
    <w:rsid w:val="00436ACD"/>
    <w:rsid w:val="00436D81"/>
    <w:rsid w:val="00437047"/>
    <w:rsid w:val="004372FD"/>
    <w:rsid w:val="00437582"/>
    <w:rsid w:val="00437605"/>
    <w:rsid w:val="004378A0"/>
    <w:rsid w:val="00437D17"/>
    <w:rsid w:val="00437E41"/>
    <w:rsid w:val="00437F63"/>
    <w:rsid w:val="00437F6A"/>
    <w:rsid w:val="00440117"/>
    <w:rsid w:val="00440530"/>
    <w:rsid w:val="00440A59"/>
    <w:rsid w:val="00440AD3"/>
    <w:rsid w:val="00440B96"/>
    <w:rsid w:val="00440E20"/>
    <w:rsid w:val="0044126C"/>
    <w:rsid w:val="0044153C"/>
    <w:rsid w:val="004418ED"/>
    <w:rsid w:val="00441A23"/>
    <w:rsid w:val="00441AE4"/>
    <w:rsid w:val="00441B4F"/>
    <w:rsid w:val="00441D7E"/>
    <w:rsid w:val="00441E4F"/>
    <w:rsid w:val="00441E67"/>
    <w:rsid w:val="004420D2"/>
    <w:rsid w:val="00442156"/>
    <w:rsid w:val="0044228E"/>
    <w:rsid w:val="0044271D"/>
    <w:rsid w:val="00442755"/>
    <w:rsid w:val="00442793"/>
    <w:rsid w:val="00442799"/>
    <w:rsid w:val="00442A15"/>
    <w:rsid w:val="00442C3C"/>
    <w:rsid w:val="00442C98"/>
    <w:rsid w:val="00443001"/>
    <w:rsid w:val="00443092"/>
    <w:rsid w:val="0044338A"/>
    <w:rsid w:val="00443438"/>
    <w:rsid w:val="00443509"/>
    <w:rsid w:val="00443529"/>
    <w:rsid w:val="004437E8"/>
    <w:rsid w:val="004438CB"/>
    <w:rsid w:val="00443952"/>
    <w:rsid w:val="00443A9D"/>
    <w:rsid w:val="00443B11"/>
    <w:rsid w:val="00443B4A"/>
    <w:rsid w:val="00443B77"/>
    <w:rsid w:val="00443FA7"/>
    <w:rsid w:val="00444159"/>
    <w:rsid w:val="004444EA"/>
    <w:rsid w:val="004445A1"/>
    <w:rsid w:val="00444616"/>
    <w:rsid w:val="004446BF"/>
    <w:rsid w:val="004446D8"/>
    <w:rsid w:val="00444BFC"/>
    <w:rsid w:val="00444CB6"/>
    <w:rsid w:val="00444CE4"/>
    <w:rsid w:val="00444E3F"/>
    <w:rsid w:val="0044584D"/>
    <w:rsid w:val="00445891"/>
    <w:rsid w:val="00445C30"/>
    <w:rsid w:val="00445D1E"/>
    <w:rsid w:val="00445DAF"/>
    <w:rsid w:val="00445F53"/>
    <w:rsid w:val="00446142"/>
    <w:rsid w:val="00446178"/>
    <w:rsid w:val="00446205"/>
    <w:rsid w:val="004463CD"/>
    <w:rsid w:val="00446506"/>
    <w:rsid w:val="0044662B"/>
    <w:rsid w:val="00446641"/>
    <w:rsid w:val="004469C2"/>
    <w:rsid w:val="00446BA5"/>
    <w:rsid w:val="00446C5A"/>
    <w:rsid w:val="00446C62"/>
    <w:rsid w:val="00446DEA"/>
    <w:rsid w:val="00447015"/>
    <w:rsid w:val="00447381"/>
    <w:rsid w:val="00447384"/>
    <w:rsid w:val="0044743F"/>
    <w:rsid w:val="004475CF"/>
    <w:rsid w:val="00447603"/>
    <w:rsid w:val="004476DE"/>
    <w:rsid w:val="0044777E"/>
    <w:rsid w:val="004478FB"/>
    <w:rsid w:val="0044796F"/>
    <w:rsid w:val="004479C4"/>
    <w:rsid w:val="00447BC5"/>
    <w:rsid w:val="00447D08"/>
    <w:rsid w:val="00447E1B"/>
    <w:rsid w:val="0045006C"/>
    <w:rsid w:val="004503FF"/>
    <w:rsid w:val="0045040E"/>
    <w:rsid w:val="0045061C"/>
    <w:rsid w:val="00450C4E"/>
    <w:rsid w:val="00450CC0"/>
    <w:rsid w:val="00450D25"/>
    <w:rsid w:val="0045107B"/>
    <w:rsid w:val="004510B9"/>
    <w:rsid w:val="00451277"/>
    <w:rsid w:val="004512E8"/>
    <w:rsid w:val="00451301"/>
    <w:rsid w:val="0045137D"/>
    <w:rsid w:val="00451666"/>
    <w:rsid w:val="0045176F"/>
    <w:rsid w:val="00451879"/>
    <w:rsid w:val="0045195E"/>
    <w:rsid w:val="00451A48"/>
    <w:rsid w:val="00451E0C"/>
    <w:rsid w:val="00451E28"/>
    <w:rsid w:val="00451E35"/>
    <w:rsid w:val="00452244"/>
    <w:rsid w:val="004523DD"/>
    <w:rsid w:val="00452BB0"/>
    <w:rsid w:val="00452C53"/>
    <w:rsid w:val="00452D0D"/>
    <w:rsid w:val="00452D64"/>
    <w:rsid w:val="00453265"/>
    <w:rsid w:val="00453303"/>
    <w:rsid w:val="0045338A"/>
    <w:rsid w:val="00453420"/>
    <w:rsid w:val="00453546"/>
    <w:rsid w:val="00453607"/>
    <w:rsid w:val="00453A4E"/>
    <w:rsid w:val="00453C08"/>
    <w:rsid w:val="00453C7D"/>
    <w:rsid w:val="00453E13"/>
    <w:rsid w:val="00453EB2"/>
    <w:rsid w:val="004540E6"/>
    <w:rsid w:val="0045462F"/>
    <w:rsid w:val="004546E8"/>
    <w:rsid w:val="004547DC"/>
    <w:rsid w:val="00454BDE"/>
    <w:rsid w:val="00454C4B"/>
    <w:rsid w:val="00455549"/>
    <w:rsid w:val="00455582"/>
    <w:rsid w:val="00455817"/>
    <w:rsid w:val="004559F8"/>
    <w:rsid w:val="00455B40"/>
    <w:rsid w:val="00455D80"/>
    <w:rsid w:val="00455E20"/>
    <w:rsid w:val="00455E77"/>
    <w:rsid w:val="004560DF"/>
    <w:rsid w:val="0045613C"/>
    <w:rsid w:val="00456339"/>
    <w:rsid w:val="0045668A"/>
    <w:rsid w:val="004566F6"/>
    <w:rsid w:val="00456AC1"/>
    <w:rsid w:val="00456D9C"/>
    <w:rsid w:val="00456F1C"/>
    <w:rsid w:val="00456F76"/>
    <w:rsid w:val="00457104"/>
    <w:rsid w:val="00457414"/>
    <w:rsid w:val="0045744D"/>
    <w:rsid w:val="0045765C"/>
    <w:rsid w:val="004579BD"/>
    <w:rsid w:val="00457AE3"/>
    <w:rsid w:val="00457B0E"/>
    <w:rsid w:val="00457C5F"/>
    <w:rsid w:val="00457CD5"/>
    <w:rsid w:val="00457D91"/>
    <w:rsid w:val="00457E0B"/>
    <w:rsid w:val="00457E18"/>
    <w:rsid w:val="004600CA"/>
    <w:rsid w:val="00460265"/>
    <w:rsid w:val="004605B0"/>
    <w:rsid w:val="004605D9"/>
    <w:rsid w:val="00460829"/>
    <w:rsid w:val="00460928"/>
    <w:rsid w:val="00460B8B"/>
    <w:rsid w:val="00460B90"/>
    <w:rsid w:val="00460C0E"/>
    <w:rsid w:val="00460C7E"/>
    <w:rsid w:val="00460DA9"/>
    <w:rsid w:val="00460F74"/>
    <w:rsid w:val="0046163E"/>
    <w:rsid w:val="004616C3"/>
    <w:rsid w:val="004618CF"/>
    <w:rsid w:val="00461B36"/>
    <w:rsid w:val="00461DCB"/>
    <w:rsid w:val="00461E22"/>
    <w:rsid w:val="00461E5C"/>
    <w:rsid w:val="00462013"/>
    <w:rsid w:val="004620B7"/>
    <w:rsid w:val="004622A7"/>
    <w:rsid w:val="004625D8"/>
    <w:rsid w:val="004627A7"/>
    <w:rsid w:val="00462859"/>
    <w:rsid w:val="0046292D"/>
    <w:rsid w:val="00462AB9"/>
    <w:rsid w:val="00463137"/>
    <w:rsid w:val="0046348E"/>
    <w:rsid w:val="004637C4"/>
    <w:rsid w:val="00463A2B"/>
    <w:rsid w:val="00463AA4"/>
    <w:rsid w:val="00463AD0"/>
    <w:rsid w:val="00463B0C"/>
    <w:rsid w:val="00463B6A"/>
    <w:rsid w:val="00463C28"/>
    <w:rsid w:val="00463CDC"/>
    <w:rsid w:val="00463D99"/>
    <w:rsid w:val="00463DAC"/>
    <w:rsid w:val="0046416A"/>
    <w:rsid w:val="0046420C"/>
    <w:rsid w:val="0046452B"/>
    <w:rsid w:val="00464801"/>
    <w:rsid w:val="004648A2"/>
    <w:rsid w:val="0046491F"/>
    <w:rsid w:val="00464ABB"/>
    <w:rsid w:val="00464B29"/>
    <w:rsid w:val="00464CF0"/>
    <w:rsid w:val="00464CF5"/>
    <w:rsid w:val="00464D73"/>
    <w:rsid w:val="0046525E"/>
    <w:rsid w:val="0046550B"/>
    <w:rsid w:val="00465C1E"/>
    <w:rsid w:val="00465D09"/>
    <w:rsid w:val="00465DCB"/>
    <w:rsid w:val="00465E0D"/>
    <w:rsid w:val="00465E80"/>
    <w:rsid w:val="00465F42"/>
    <w:rsid w:val="00466737"/>
    <w:rsid w:val="00466A60"/>
    <w:rsid w:val="00466ADD"/>
    <w:rsid w:val="00466CF5"/>
    <w:rsid w:val="00466D68"/>
    <w:rsid w:val="004674BE"/>
    <w:rsid w:val="00467845"/>
    <w:rsid w:val="00467C9B"/>
    <w:rsid w:val="00467E24"/>
    <w:rsid w:val="004701C3"/>
    <w:rsid w:val="0047021A"/>
    <w:rsid w:val="00470258"/>
    <w:rsid w:val="004702BA"/>
    <w:rsid w:val="00470534"/>
    <w:rsid w:val="004709D5"/>
    <w:rsid w:val="0047103E"/>
    <w:rsid w:val="004711DE"/>
    <w:rsid w:val="0047128B"/>
    <w:rsid w:val="00471292"/>
    <w:rsid w:val="0047133F"/>
    <w:rsid w:val="00471356"/>
    <w:rsid w:val="0047150F"/>
    <w:rsid w:val="0047157D"/>
    <w:rsid w:val="0047161C"/>
    <w:rsid w:val="004718BD"/>
    <w:rsid w:val="004718DF"/>
    <w:rsid w:val="00471DA2"/>
    <w:rsid w:val="00471F10"/>
    <w:rsid w:val="00471FF4"/>
    <w:rsid w:val="004721FF"/>
    <w:rsid w:val="00472242"/>
    <w:rsid w:val="0047266C"/>
    <w:rsid w:val="00472683"/>
    <w:rsid w:val="00472830"/>
    <w:rsid w:val="004728B9"/>
    <w:rsid w:val="0047293E"/>
    <w:rsid w:val="00472ABA"/>
    <w:rsid w:val="00472B56"/>
    <w:rsid w:val="00472BBB"/>
    <w:rsid w:val="00472E95"/>
    <w:rsid w:val="0047313F"/>
    <w:rsid w:val="00473222"/>
    <w:rsid w:val="00473560"/>
    <w:rsid w:val="004735D3"/>
    <w:rsid w:val="00473606"/>
    <w:rsid w:val="00473B15"/>
    <w:rsid w:val="00473DE7"/>
    <w:rsid w:val="00473E43"/>
    <w:rsid w:val="00473F7A"/>
    <w:rsid w:val="0047455E"/>
    <w:rsid w:val="00474A25"/>
    <w:rsid w:val="00474A7B"/>
    <w:rsid w:val="00474A94"/>
    <w:rsid w:val="00474C1D"/>
    <w:rsid w:val="00474CB9"/>
    <w:rsid w:val="0047524E"/>
    <w:rsid w:val="004752B8"/>
    <w:rsid w:val="0047537B"/>
    <w:rsid w:val="004755AE"/>
    <w:rsid w:val="004758B1"/>
    <w:rsid w:val="0047591E"/>
    <w:rsid w:val="00475F54"/>
    <w:rsid w:val="0047601B"/>
    <w:rsid w:val="0047606D"/>
    <w:rsid w:val="00476417"/>
    <w:rsid w:val="004764CD"/>
    <w:rsid w:val="00476BD3"/>
    <w:rsid w:val="00476E1A"/>
    <w:rsid w:val="0047703A"/>
    <w:rsid w:val="004770E8"/>
    <w:rsid w:val="00477137"/>
    <w:rsid w:val="00477341"/>
    <w:rsid w:val="00477472"/>
    <w:rsid w:val="00477560"/>
    <w:rsid w:val="0047767B"/>
    <w:rsid w:val="0047789E"/>
    <w:rsid w:val="00477DB2"/>
    <w:rsid w:val="00477ED5"/>
    <w:rsid w:val="00480205"/>
    <w:rsid w:val="00480285"/>
    <w:rsid w:val="0048039B"/>
    <w:rsid w:val="004803A1"/>
    <w:rsid w:val="004805C9"/>
    <w:rsid w:val="00480606"/>
    <w:rsid w:val="004806A0"/>
    <w:rsid w:val="004807AA"/>
    <w:rsid w:val="004809DB"/>
    <w:rsid w:val="00481066"/>
    <w:rsid w:val="004811CB"/>
    <w:rsid w:val="004811DF"/>
    <w:rsid w:val="00481661"/>
    <w:rsid w:val="00481875"/>
    <w:rsid w:val="00481C46"/>
    <w:rsid w:val="00481D1F"/>
    <w:rsid w:val="00481E32"/>
    <w:rsid w:val="00481F91"/>
    <w:rsid w:val="004824BB"/>
    <w:rsid w:val="0048258E"/>
    <w:rsid w:val="00482884"/>
    <w:rsid w:val="004828C7"/>
    <w:rsid w:val="004828E4"/>
    <w:rsid w:val="004828F0"/>
    <w:rsid w:val="00482BCE"/>
    <w:rsid w:val="00482BFD"/>
    <w:rsid w:val="00482CC4"/>
    <w:rsid w:val="00482DFA"/>
    <w:rsid w:val="00483075"/>
    <w:rsid w:val="004830EF"/>
    <w:rsid w:val="004830FF"/>
    <w:rsid w:val="004833AE"/>
    <w:rsid w:val="0048357A"/>
    <w:rsid w:val="004836DB"/>
    <w:rsid w:val="00483AD5"/>
    <w:rsid w:val="00483B13"/>
    <w:rsid w:val="00483B8C"/>
    <w:rsid w:val="004840EF"/>
    <w:rsid w:val="00484124"/>
    <w:rsid w:val="004841AB"/>
    <w:rsid w:val="00484257"/>
    <w:rsid w:val="004842A0"/>
    <w:rsid w:val="00484442"/>
    <w:rsid w:val="004844DB"/>
    <w:rsid w:val="00484704"/>
    <w:rsid w:val="004849B4"/>
    <w:rsid w:val="00484A5F"/>
    <w:rsid w:val="00484C3A"/>
    <w:rsid w:val="00484CF5"/>
    <w:rsid w:val="00484EE2"/>
    <w:rsid w:val="00484F7C"/>
    <w:rsid w:val="00485083"/>
    <w:rsid w:val="004850CD"/>
    <w:rsid w:val="004851DA"/>
    <w:rsid w:val="00485545"/>
    <w:rsid w:val="004855CE"/>
    <w:rsid w:val="00485D53"/>
    <w:rsid w:val="00486051"/>
    <w:rsid w:val="004860D7"/>
    <w:rsid w:val="0048639B"/>
    <w:rsid w:val="0048660B"/>
    <w:rsid w:val="00486BEC"/>
    <w:rsid w:val="00486FB2"/>
    <w:rsid w:val="004873FC"/>
    <w:rsid w:val="00487594"/>
    <w:rsid w:val="0048764B"/>
    <w:rsid w:val="0048765A"/>
    <w:rsid w:val="00487B90"/>
    <w:rsid w:val="00487C8F"/>
    <w:rsid w:val="00487E10"/>
    <w:rsid w:val="00487F98"/>
    <w:rsid w:val="00490464"/>
    <w:rsid w:val="00490626"/>
    <w:rsid w:val="00490995"/>
    <w:rsid w:val="00490B4E"/>
    <w:rsid w:val="00490B5B"/>
    <w:rsid w:val="00490D4F"/>
    <w:rsid w:val="00490E9E"/>
    <w:rsid w:val="00490F5F"/>
    <w:rsid w:val="00491000"/>
    <w:rsid w:val="00491254"/>
    <w:rsid w:val="00491588"/>
    <w:rsid w:val="0049169F"/>
    <w:rsid w:val="004919CA"/>
    <w:rsid w:val="004919FF"/>
    <w:rsid w:val="00491B46"/>
    <w:rsid w:val="00491B92"/>
    <w:rsid w:val="00491D20"/>
    <w:rsid w:val="00491D30"/>
    <w:rsid w:val="00491E36"/>
    <w:rsid w:val="00492017"/>
    <w:rsid w:val="004920BD"/>
    <w:rsid w:val="004920D8"/>
    <w:rsid w:val="00492570"/>
    <w:rsid w:val="0049281C"/>
    <w:rsid w:val="00492824"/>
    <w:rsid w:val="0049292D"/>
    <w:rsid w:val="00492EF9"/>
    <w:rsid w:val="00492F34"/>
    <w:rsid w:val="00493DFA"/>
    <w:rsid w:val="00494423"/>
    <w:rsid w:val="00494530"/>
    <w:rsid w:val="004946EB"/>
    <w:rsid w:val="00494725"/>
    <w:rsid w:val="004947A0"/>
    <w:rsid w:val="00494878"/>
    <w:rsid w:val="00494983"/>
    <w:rsid w:val="00494BF2"/>
    <w:rsid w:val="00495111"/>
    <w:rsid w:val="0049538B"/>
    <w:rsid w:val="004953BD"/>
    <w:rsid w:val="00495586"/>
    <w:rsid w:val="0049560B"/>
    <w:rsid w:val="00495734"/>
    <w:rsid w:val="004958CA"/>
    <w:rsid w:val="0049591D"/>
    <w:rsid w:val="00495955"/>
    <w:rsid w:val="00495A8A"/>
    <w:rsid w:val="004960CB"/>
    <w:rsid w:val="004961D7"/>
    <w:rsid w:val="00496467"/>
    <w:rsid w:val="00496945"/>
    <w:rsid w:val="00496CE9"/>
    <w:rsid w:val="00496E25"/>
    <w:rsid w:val="00497066"/>
    <w:rsid w:val="004976D9"/>
    <w:rsid w:val="00497865"/>
    <w:rsid w:val="0049792A"/>
    <w:rsid w:val="00497D8D"/>
    <w:rsid w:val="004A0218"/>
    <w:rsid w:val="004A083A"/>
    <w:rsid w:val="004A1152"/>
    <w:rsid w:val="004A11DE"/>
    <w:rsid w:val="004A1288"/>
    <w:rsid w:val="004A173C"/>
    <w:rsid w:val="004A1983"/>
    <w:rsid w:val="004A1B33"/>
    <w:rsid w:val="004A1CCD"/>
    <w:rsid w:val="004A1D4F"/>
    <w:rsid w:val="004A1FC1"/>
    <w:rsid w:val="004A205F"/>
    <w:rsid w:val="004A2079"/>
    <w:rsid w:val="004A220F"/>
    <w:rsid w:val="004A22C4"/>
    <w:rsid w:val="004A249F"/>
    <w:rsid w:val="004A252E"/>
    <w:rsid w:val="004A262D"/>
    <w:rsid w:val="004A266E"/>
    <w:rsid w:val="004A2708"/>
    <w:rsid w:val="004A2888"/>
    <w:rsid w:val="004A2C84"/>
    <w:rsid w:val="004A2CF3"/>
    <w:rsid w:val="004A2F85"/>
    <w:rsid w:val="004A32BF"/>
    <w:rsid w:val="004A330A"/>
    <w:rsid w:val="004A34E6"/>
    <w:rsid w:val="004A38E5"/>
    <w:rsid w:val="004A3A3F"/>
    <w:rsid w:val="004A3A7C"/>
    <w:rsid w:val="004A3C85"/>
    <w:rsid w:val="004A3E14"/>
    <w:rsid w:val="004A40E7"/>
    <w:rsid w:val="004A463B"/>
    <w:rsid w:val="004A47C7"/>
    <w:rsid w:val="004A4C4B"/>
    <w:rsid w:val="004A4DAC"/>
    <w:rsid w:val="004A4E4B"/>
    <w:rsid w:val="004A529B"/>
    <w:rsid w:val="004A532C"/>
    <w:rsid w:val="004A540A"/>
    <w:rsid w:val="004A59B6"/>
    <w:rsid w:val="004A5BE8"/>
    <w:rsid w:val="004A5CC0"/>
    <w:rsid w:val="004A5D93"/>
    <w:rsid w:val="004A5E44"/>
    <w:rsid w:val="004A608D"/>
    <w:rsid w:val="004A624D"/>
    <w:rsid w:val="004A63BE"/>
    <w:rsid w:val="004A697B"/>
    <w:rsid w:val="004A6A17"/>
    <w:rsid w:val="004A6A40"/>
    <w:rsid w:val="004A6F90"/>
    <w:rsid w:val="004A75CB"/>
    <w:rsid w:val="004A7903"/>
    <w:rsid w:val="004A7D4A"/>
    <w:rsid w:val="004A7D79"/>
    <w:rsid w:val="004A7DBD"/>
    <w:rsid w:val="004A7E36"/>
    <w:rsid w:val="004B0044"/>
    <w:rsid w:val="004B0196"/>
    <w:rsid w:val="004B02DE"/>
    <w:rsid w:val="004B046C"/>
    <w:rsid w:val="004B050C"/>
    <w:rsid w:val="004B0629"/>
    <w:rsid w:val="004B09A0"/>
    <w:rsid w:val="004B0A2F"/>
    <w:rsid w:val="004B0A8E"/>
    <w:rsid w:val="004B0C39"/>
    <w:rsid w:val="004B0D06"/>
    <w:rsid w:val="004B0D7C"/>
    <w:rsid w:val="004B0DA0"/>
    <w:rsid w:val="004B1003"/>
    <w:rsid w:val="004B11EA"/>
    <w:rsid w:val="004B1540"/>
    <w:rsid w:val="004B158D"/>
    <w:rsid w:val="004B1B4B"/>
    <w:rsid w:val="004B1FF5"/>
    <w:rsid w:val="004B21A2"/>
    <w:rsid w:val="004B22A4"/>
    <w:rsid w:val="004B24AC"/>
    <w:rsid w:val="004B2515"/>
    <w:rsid w:val="004B25EB"/>
    <w:rsid w:val="004B261A"/>
    <w:rsid w:val="004B2A2D"/>
    <w:rsid w:val="004B2C3A"/>
    <w:rsid w:val="004B2DA6"/>
    <w:rsid w:val="004B2E0B"/>
    <w:rsid w:val="004B2E2B"/>
    <w:rsid w:val="004B2F2E"/>
    <w:rsid w:val="004B3066"/>
    <w:rsid w:val="004B30A3"/>
    <w:rsid w:val="004B3144"/>
    <w:rsid w:val="004B31F9"/>
    <w:rsid w:val="004B3563"/>
    <w:rsid w:val="004B36C3"/>
    <w:rsid w:val="004B39E6"/>
    <w:rsid w:val="004B3A09"/>
    <w:rsid w:val="004B3B71"/>
    <w:rsid w:val="004B3F17"/>
    <w:rsid w:val="004B4038"/>
    <w:rsid w:val="004B4080"/>
    <w:rsid w:val="004B41F4"/>
    <w:rsid w:val="004B42F5"/>
    <w:rsid w:val="004B4721"/>
    <w:rsid w:val="004B4764"/>
    <w:rsid w:val="004B49FB"/>
    <w:rsid w:val="004B4AE4"/>
    <w:rsid w:val="004B4C5D"/>
    <w:rsid w:val="004B4CD6"/>
    <w:rsid w:val="004B4D25"/>
    <w:rsid w:val="004B4D6C"/>
    <w:rsid w:val="004B4D77"/>
    <w:rsid w:val="004B4DBA"/>
    <w:rsid w:val="004B4E73"/>
    <w:rsid w:val="004B4ECF"/>
    <w:rsid w:val="004B5118"/>
    <w:rsid w:val="004B5296"/>
    <w:rsid w:val="004B5948"/>
    <w:rsid w:val="004B5BD2"/>
    <w:rsid w:val="004B6407"/>
    <w:rsid w:val="004B6463"/>
    <w:rsid w:val="004B646C"/>
    <w:rsid w:val="004B6494"/>
    <w:rsid w:val="004B69FA"/>
    <w:rsid w:val="004B6A80"/>
    <w:rsid w:val="004B7026"/>
    <w:rsid w:val="004B705C"/>
    <w:rsid w:val="004B7250"/>
    <w:rsid w:val="004B72B4"/>
    <w:rsid w:val="004B745F"/>
    <w:rsid w:val="004B7564"/>
    <w:rsid w:val="004B759F"/>
    <w:rsid w:val="004B75F1"/>
    <w:rsid w:val="004B7640"/>
    <w:rsid w:val="004B777B"/>
    <w:rsid w:val="004B7D30"/>
    <w:rsid w:val="004C0001"/>
    <w:rsid w:val="004C00D4"/>
    <w:rsid w:val="004C0131"/>
    <w:rsid w:val="004C0257"/>
    <w:rsid w:val="004C02AD"/>
    <w:rsid w:val="004C062F"/>
    <w:rsid w:val="004C0773"/>
    <w:rsid w:val="004C07BD"/>
    <w:rsid w:val="004C0A63"/>
    <w:rsid w:val="004C0A6F"/>
    <w:rsid w:val="004C0B0D"/>
    <w:rsid w:val="004C0BBB"/>
    <w:rsid w:val="004C0C02"/>
    <w:rsid w:val="004C0C7E"/>
    <w:rsid w:val="004C0D2F"/>
    <w:rsid w:val="004C0E88"/>
    <w:rsid w:val="004C0F5C"/>
    <w:rsid w:val="004C1111"/>
    <w:rsid w:val="004C1183"/>
    <w:rsid w:val="004C12C0"/>
    <w:rsid w:val="004C13C5"/>
    <w:rsid w:val="004C14D5"/>
    <w:rsid w:val="004C14DA"/>
    <w:rsid w:val="004C16A3"/>
    <w:rsid w:val="004C1A3E"/>
    <w:rsid w:val="004C1D56"/>
    <w:rsid w:val="004C1E68"/>
    <w:rsid w:val="004C1EDA"/>
    <w:rsid w:val="004C1F8F"/>
    <w:rsid w:val="004C2052"/>
    <w:rsid w:val="004C21AC"/>
    <w:rsid w:val="004C239E"/>
    <w:rsid w:val="004C24D1"/>
    <w:rsid w:val="004C2547"/>
    <w:rsid w:val="004C25DD"/>
    <w:rsid w:val="004C283C"/>
    <w:rsid w:val="004C2931"/>
    <w:rsid w:val="004C30B3"/>
    <w:rsid w:val="004C3182"/>
    <w:rsid w:val="004C31F3"/>
    <w:rsid w:val="004C34BC"/>
    <w:rsid w:val="004C363E"/>
    <w:rsid w:val="004C3680"/>
    <w:rsid w:val="004C3CB7"/>
    <w:rsid w:val="004C3CC3"/>
    <w:rsid w:val="004C3DDB"/>
    <w:rsid w:val="004C3E34"/>
    <w:rsid w:val="004C4113"/>
    <w:rsid w:val="004C43AF"/>
    <w:rsid w:val="004C460A"/>
    <w:rsid w:val="004C47C6"/>
    <w:rsid w:val="004C4849"/>
    <w:rsid w:val="004C4A36"/>
    <w:rsid w:val="004C4D75"/>
    <w:rsid w:val="004C4E9D"/>
    <w:rsid w:val="004C4EB0"/>
    <w:rsid w:val="004C55FC"/>
    <w:rsid w:val="004C572D"/>
    <w:rsid w:val="004C5887"/>
    <w:rsid w:val="004C598F"/>
    <w:rsid w:val="004C5B68"/>
    <w:rsid w:val="004C5D6C"/>
    <w:rsid w:val="004C5F7E"/>
    <w:rsid w:val="004C5FD8"/>
    <w:rsid w:val="004C6050"/>
    <w:rsid w:val="004C65ED"/>
    <w:rsid w:val="004C665B"/>
    <w:rsid w:val="004C6660"/>
    <w:rsid w:val="004C6A83"/>
    <w:rsid w:val="004C6A9F"/>
    <w:rsid w:val="004C6DC8"/>
    <w:rsid w:val="004C6F97"/>
    <w:rsid w:val="004C701C"/>
    <w:rsid w:val="004C704D"/>
    <w:rsid w:val="004C7918"/>
    <w:rsid w:val="004C7B24"/>
    <w:rsid w:val="004C7D56"/>
    <w:rsid w:val="004C7EB5"/>
    <w:rsid w:val="004D05A3"/>
    <w:rsid w:val="004D0835"/>
    <w:rsid w:val="004D0879"/>
    <w:rsid w:val="004D0913"/>
    <w:rsid w:val="004D0A26"/>
    <w:rsid w:val="004D0C4B"/>
    <w:rsid w:val="004D1772"/>
    <w:rsid w:val="004D1DEF"/>
    <w:rsid w:val="004D1E74"/>
    <w:rsid w:val="004D1F8C"/>
    <w:rsid w:val="004D203F"/>
    <w:rsid w:val="004D2050"/>
    <w:rsid w:val="004D20D7"/>
    <w:rsid w:val="004D22AE"/>
    <w:rsid w:val="004D238F"/>
    <w:rsid w:val="004D2489"/>
    <w:rsid w:val="004D2550"/>
    <w:rsid w:val="004D259A"/>
    <w:rsid w:val="004D2620"/>
    <w:rsid w:val="004D263F"/>
    <w:rsid w:val="004D28A4"/>
    <w:rsid w:val="004D2B94"/>
    <w:rsid w:val="004D2D46"/>
    <w:rsid w:val="004D301B"/>
    <w:rsid w:val="004D311C"/>
    <w:rsid w:val="004D323D"/>
    <w:rsid w:val="004D33F6"/>
    <w:rsid w:val="004D3525"/>
    <w:rsid w:val="004D3678"/>
    <w:rsid w:val="004D384D"/>
    <w:rsid w:val="004D3B72"/>
    <w:rsid w:val="004D3D0B"/>
    <w:rsid w:val="004D3D8C"/>
    <w:rsid w:val="004D4101"/>
    <w:rsid w:val="004D4161"/>
    <w:rsid w:val="004D4183"/>
    <w:rsid w:val="004D4275"/>
    <w:rsid w:val="004D42C9"/>
    <w:rsid w:val="004D4339"/>
    <w:rsid w:val="004D4525"/>
    <w:rsid w:val="004D4768"/>
    <w:rsid w:val="004D48A6"/>
    <w:rsid w:val="004D48D4"/>
    <w:rsid w:val="004D4913"/>
    <w:rsid w:val="004D496C"/>
    <w:rsid w:val="004D4A26"/>
    <w:rsid w:val="004D4A98"/>
    <w:rsid w:val="004D4F39"/>
    <w:rsid w:val="004D5014"/>
    <w:rsid w:val="004D503E"/>
    <w:rsid w:val="004D5168"/>
    <w:rsid w:val="004D51B0"/>
    <w:rsid w:val="004D52BA"/>
    <w:rsid w:val="004D52D0"/>
    <w:rsid w:val="004D52F4"/>
    <w:rsid w:val="004D5854"/>
    <w:rsid w:val="004D5928"/>
    <w:rsid w:val="004D5C17"/>
    <w:rsid w:val="004D5CCA"/>
    <w:rsid w:val="004D5D92"/>
    <w:rsid w:val="004D5E63"/>
    <w:rsid w:val="004D6179"/>
    <w:rsid w:val="004D628A"/>
    <w:rsid w:val="004D64A1"/>
    <w:rsid w:val="004D6644"/>
    <w:rsid w:val="004D6977"/>
    <w:rsid w:val="004D6D53"/>
    <w:rsid w:val="004D7502"/>
    <w:rsid w:val="004D753C"/>
    <w:rsid w:val="004D7933"/>
    <w:rsid w:val="004D7A87"/>
    <w:rsid w:val="004D7AB8"/>
    <w:rsid w:val="004D7AD7"/>
    <w:rsid w:val="004D7C55"/>
    <w:rsid w:val="004D7EB7"/>
    <w:rsid w:val="004E015C"/>
    <w:rsid w:val="004E01E9"/>
    <w:rsid w:val="004E0224"/>
    <w:rsid w:val="004E02D5"/>
    <w:rsid w:val="004E033F"/>
    <w:rsid w:val="004E040A"/>
    <w:rsid w:val="004E044E"/>
    <w:rsid w:val="004E09AF"/>
    <w:rsid w:val="004E09D9"/>
    <w:rsid w:val="004E0A5E"/>
    <w:rsid w:val="004E0A84"/>
    <w:rsid w:val="004E0AA2"/>
    <w:rsid w:val="004E0B7F"/>
    <w:rsid w:val="004E0BB9"/>
    <w:rsid w:val="004E0F1D"/>
    <w:rsid w:val="004E104D"/>
    <w:rsid w:val="004E11B5"/>
    <w:rsid w:val="004E12DE"/>
    <w:rsid w:val="004E1325"/>
    <w:rsid w:val="004E1848"/>
    <w:rsid w:val="004E193F"/>
    <w:rsid w:val="004E1976"/>
    <w:rsid w:val="004E1AA2"/>
    <w:rsid w:val="004E1B34"/>
    <w:rsid w:val="004E1B9B"/>
    <w:rsid w:val="004E1BC8"/>
    <w:rsid w:val="004E1C3F"/>
    <w:rsid w:val="004E1C41"/>
    <w:rsid w:val="004E1E26"/>
    <w:rsid w:val="004E1FF1"/>
    <w:rsid w:val="004E200D"/>
    <w:rsid w:val="004E23C4"/>
    <w:rsid w:val="004E25DF"/>
    <w:rsid w:val="004E280D"/>
    <w:rsid w:val="004E2841"/>
    <w:rsid w:val="004E2883"/>
    <w:rsid w:val="004E2975"/>
    <w:rsid w:val="004E2B94"/>
    <w:rsid w:val="004E2BDB"/>
    <w:rsid w:val="004E2C3E"/>
    <w:rsid w:val="004E2EFF"/>
    <w:rsid w:val="004E307E"/>
    <w:rsid w:val="004E30D6"/>
    <w:rsid w:val="004E3275"/>
    <w:rsid w:val="004E32D7"/>
    <w:rsid w:val="004E33C6"/>
    <w:rsid w:val="004E3601"/>
    <w:rsid w:val="004E39BC"/>
    <w:rsid w:val="004E3B35"/>
    <w:rsid w:val="004E3BE1"/>
    <w:rsid w:val="004E3C34"/>
    <w:rsid w:val="004E3E0E"/>
    <w:rsid w:val="004E3E8E"/>
    <w:rsid w:val="004E4056"/>
    <w:rsid w:val="004E410A"/>
    <w:rsid w:val="004E4179"/>
    <w:rsid w:val="004E47D6"/>
    <w:rsid w:val="004E4B06"/>
    <w:rsid w:val="004E4C15"/>
    <w:rsid w:val="004E4D44"/>
    <w:rsid w:val="004E4D78"/>
    <w:rsid w:val="004E4D7F"/>
    <w:rsid w:val="004E4EAC"/>
    <w:rsid w:val="004E4FCC"/>
    <w:rsid w:val="004E5107"/>
    <w:rsid w:val="004E5111"/>
    <w:rsid w:val="004E5116"/>
    <w:rsid w:val="004E563E"/>
    <w:rsid w:val="004E574C"/>
    <w:rsid w:val="004E578E"/>
    <w:rsid w:val="004E58CF"/>
    <w:rsid w:val="004E5A25"/>
    <w:rsid w:val="004E5B3A"/>
    <w:rsid w:val="004E5D92"/>
    <w:rsid w:val="004E5F2B"/>
    <w:rsid w:val="004E5F4C"/>
    <w:rsid w:val="004E6046"/>
    <w:rsid w:val="004E6085"/>
    <w:rsid w:val="004E60BF"/>
    <w:rsid w:val="004E6628"/>
    <w:rsid w:val="004E67B0"/>
    <w:rsid w:val="004E684A"/>
    <w:rsid w:val="004E6855"/>
    <w:rsid w:val="004E6B49"/>
    <w:rsid w:val="004E6B4A"/>
    <w:rsid w:val="004E6D78"/>
    <w:rsid w:val="004E6D96"/>
    <w:rsid w:val="004E6E17"/>
    <w:rsid w:val="004E6EFF"/>
    <w:rsid w:val="004E705E"/>
    <w:rsid w:val="004E70B6"/>
    <w:rsid w:val="004E71E8"/>
    <w:rsid w:val="004E7775"/>
    <w:rsid w:val="004E786C"/>
    <w:rsid w:val="004E798D"/>
    <w:rsid w:val="004E7CB0"/>
    <w:rsid w:val="004E7CB8"/>
    <w:rsid w:val="004F0060"/>
    <w:rsid w:val="004F0163"/>
    <w:rsid w:val="004F02FD"/>
    <w:rsid w:val="004F05FF"/>
    <w:rsid w:val="004F08B7"/>
    <w:rsid w:val="004F0A42"/>
    <w:rsid w:val="004F0C64"/>
    <w:rsid w:val="004F0C91"/>
    <w:rsid w:val="004F108A"/>
    <w:rsid w:val="004F13AF"/>
    <w:rsid w:val="004F1448"/>
    <w:rsid w:val="004F1692"/>
    <w:rsid w:val="004F1779"/>
    <w:rsid w:val="004F187F"/>
    <w:rsid w:val="004F19FA"/>
    <w:rsid w:val="004F1AE2"/>
    <w:rsid w:val="004F1C59"/>
    <w:rsid w:val="004F1E22"/>
    <w:rsid w:val="004F1F08"/>
    <w:rsid w:val="004F1FA4"/>
    <w:rsid w:val="004F21D9"/>
    <w:rsid w:val="004F23C3"/>
    <w:rsid w:val="004F24E1"/>
    <w:rsid w:val="004F276E"/>
    <w:rsid w:val="004F277F"/>
    <w:rsid w:val="004F29F3"/>
    <w:rsid w:val="004F2B54"/>
    <w:rsid w:val="004F2BAF"/>
    <w:rsid w:val="004F2EC6"/>
    <w:rsid w:val="004F2EF7"/>
    <w:rsid w:val="004F2EFF"/>
    <w:rsid w:val="004F311F"/>
    <w:rsid w:val="004F3243"/>
    <w:rsid w:val="004F324E"/>
    <w:rsid w:val="004F3644"/>
    <w:rsid w:val="004F36D0"/>
    <w:rsid w:val="004F3973"/>
    <w:rsid w:val="004F3AC0"/>
    <w:rsid w:val="004F3C42"/>
    <w:rsid w:val="004F3E61"/>
    <w:rsid w:val="004F3E95"/>
    <w:rsid w:val="004F3F18"/>
    <w:rsid w:val="004F4028"/>
    <w:rsid w:val="004F40B9"/>
    <w:rsid w:val="004F414C"/>
    <w:rsid w:val="004F44C1"/>
    <w:rsid w:val="004F47BE"/>
    <w:rsid w:val="004F4944"/>
    <w:rsid w:val="004F49ED"/>
    <w:rsid w:val="004F4A0F"/>
    <w:rsid w:val="004F4AC5"/>
    <w:rsid w:val="004F5075"/>
    <w:rsid w:val="004F50A7"/>
    <w:rsid w:val="004F51DD"/>
    <w:rsid w:val="004F52D5"/>
    <w:rsid w:val="004F54E7"/>
    <w:rsid w:val="004F5889"/>
    <w:rsid w:val="004F5B28"/>
    <w:rsid w:val="004F5CA6"/>
    <w:rsid w:val="004F5CEC"/>
    <w:rsid w:val="004F5DEE"/>
    <w:rsid w:val="004F6280"/>
    <w:rsid w:val="004F6463"/>
    <w:rsid w:val="004F6633"/>
    <w:rsid w:val="004F6A84"/>
    <w:rsid w:val="004F6B06"/>
    <w:rsid w:val="004F6B14"/>
    <w:rsid w:val="004F6DA8"/>
    <w:rsid w:val="004F6E01"/>
    <w:rsid w:val="004F6F06"/>
    <w:rsid w:val="004F6F4C"/>
    <w:rsid w:val="004F70F0"/>
    <w:rsid w:val="004F71E2"/>
    <w:rsid w:val="004F71ED"/>
    <w:rsid w:val="004F72B4"/>
    <w:rsid w:val="004F746F"/>
    <w:rsid w:val="004F74A4"/>
    <w:rsid w:val="004F74F3"/>
    <w:rsid w:val="004F7B6C"/>
    <w:rsid w:val="004F7B75"/>
    <w:rsid w:val="004F7B8D"/>
    <w:rsid w:val="004F7DF3"/>
    <w:rsid w:val="004F7EAE"/>
    <w:rsid w:val="0050015A"/>
    <w:rsid w:val="0050050E"/>
    <w:rsid w:val="00500684"/>
    <w:rsid w:val="00500687"/>
    <w:rsid w:val="005006E9"/>
    <w:rsid w:val="005008C5"/>
    <w:rsid w:val="005008E9"/>
    <w:rsid w:val="00501236"/>
    <w:rsid w:val="00501449"/>
    <w:rsid w:val="00501766"/>
    <w:rsid w:val="0050196E"/>
    <w:rsid w:val="00501A7B"/>
    <w:rsid w:val="0050216A"/>
    <w:rsid w:val="005021C4"/>
    <w:rsid w:val="0050229A"/>
    <w:rsid w:val="00502594"/>
    <w:rsid w:val="005025BC"/>
    <w:rsid w:val="00502601"/>
    <w:rsid w:val="00502739"/>
    <w:rsid w:val="0050284D"/>
    <w:rsid w:val="005028DB"/>
    <w:rsid w:val="00502D15"/>
    <w:rsid w:val="005034F1"/>
    <w:rsid w:val="00503618"/>
    <w:rsid w:val="00503811"/>
    <w:rsid w:val="00503952"/>
    <w:rsid w:val="00503C42"/>
    <w:rsid w:val="00503C9B"/>
    <w:rsid w:val="00503ED2"/>
    <w:rsid w:val="00504282"/>
    <w:rsid w:val="005046B5"/>
    <w:rsid w:val="00504795"/>
    <w:rsid w:val="0050480A"/>
    <w:rsid w:val="00504822"/>
    <w:rsid w:val="00504865"/>
    <w:rsid w:val="0050495B"/>
    <w:rsid w:val="00504978"/>
    <w:rsid w:val="00504B58"/>
    <w:rsid w:val="00504BA2"/>
    <w:rsid w:val="00504E8C"/>
    <w:rsid w:val="005052EA"/>
    <w:rsid w:val="00505317"/>
    <w:rsid w:val="005056BD"/>
    <w:rsid w:val="00505954"/>
    <w:rsid w:val="005059E2"/>
    <w:rsid w:val="00505A42"/>
    <w:rsid w:val="00505DD8"/>
    <w:rsid w:val="00506520"/>
    <w:rsid w:val="0050667D"/>
    <w:rsid w:val="00506689"/>
    <w:rsid w:val="0050671E"/>
    <w:rsid w:val="00506727"/>
    <w:rsid w:val="005067E7"/>
    <w:rsid w:val="00506BC2"/>
    <w:rsid w:val="00506C3A"/>
    <w:rsid w:val="00506C4A"/>
    <w:rsid w:val="00506C7A"/>
    <w:rsid w:val="00506CC1"/>
    <w:rsid w:val="00506DBC"/>
    <w:rsid w:val="00506DED"/>
    <w:rsid w:val="00506EB3"/>
    <w:rsid w:val="00506F31"/>
    <w:rsid w:val="00507280"/>
    <w:rsid w:val="005072CC"/>
    <w:rsid w:val="0050737F"/>
    <w:rsid w:val="00507636"/>
    <w:rsid w:val="005076B1"/>
    <w:rsid w:val="00507876"/>
    <w:rsid w:val="00507FD5"/>
    <w:rsid w:val="00510071"/>
    <w:rsid w:val="005100B2"/>
    <w:rsid w:val="00510440"/>
    <w:rsid w:val="00510453"/>
    <w:rsid w:val="005107FE"/>
    <w:rsid w:val="0051172F"/>
    <w:rsid w:val="00511765"/>
    <w:rsid w:val="005118B4"/>
    <w:rsid w:val="005118DC"/>
    <w:rsid w:val="00511995"/>
    <w:rsid w:val="00511B18"/>
    <w:rsid w:val="00511C73"/>
    <w:rsid w:val="00511C94"/>
    <w:rsid w:val="00511EFF"/>
    <w:rsid w:val="00512095"/>
    <w:rsid w:val="005121E1"/>
    <w:rsid w:val="00512208"/>
    <w:rsid w:val="00512386"/>
    <w:rsid w:val="00512466"/>
    <w:rsid w:val="0051246B"/>
    <w:rsid w:val="00512757"/>
    <w:rsid w:val="005128A2"/>
    <w:rsid w:val="00512AF1"/>
    <w:rsid w:val="00512CCF"/>
    <w:rsid w:val="00512E92"/>
    <w:rsid w:val="00512FD6"/>
    <w:rsid w:val="00513069"/>
    <w:rsid w:val="0051320E"/>
    <w:rsid w:val="0051329D"/>
    <w:rsid w:val="00513356"/>
    <w:rsid w:val="00513364"/>
    <w:rsid w:val="00513637"/>
    <w:rsid w:val="005139BB"/>
    <w:rsid w:val="00513A0B"/>
    <w:rsid w:val="00513AE1"/>
    <w:rsid w:val="00513FED"/>
    <w:rsid w:val="00514513"/>
    <w:rsid w:val="005149B9"/>
    <w:rsid w:val="00514A18"/>
    <w:rsid w:val="00514A44"/>
    <w:rsid w:val="00514C9A"/>
    <w:rsid w:val="00514CDB"/>
    <w:rsid w:val="0051507C"/>
    <w:rsid w:val="00515362"/>
    <w:rsid w:val="0051558D"/>
    <w:rsid w:val="005155EE"/>
    <w:rsid w:val="0051590D"/>
    <w:rsid w:val="00515941"/>
    <w:rsid w:val="00515A35"/>
    <w:rsid w:val="00515ADA"/>
    <w:rsid w:val="00515CF1"/>
    <w:rsid w:val="00515F12"/>
    <w:rsid w:val="00515FC8"/>
    <w:rsid w:val="0051609B"/>
    <w:rsid w:val="00516649"/>
    <w:rsid w:val="0051666B"/>
    <w:rsid w:val="00516782"/>
    <w:rsid w:val="00516925"/>
    <w:rsid w:val="00516A6B"/>
    <w:rsid w:val="00516C5F"/>
    <w:rsid w:val="00516D7A"/>
    <w:rsid w:val="00516DEC"/>
    <w:rsid w:val="00516E41"/>
    <w:rsid w:val="00516E6C"/>
    <w:rsid w:val="005176A8"/>
    <w:rsid w:val="00517708"/>
    <w:rsid w:val="00517779"/>
    <w:rsid w:val="00517829"/>
    <w:rsid w:val="00517B59"/>
    <w:rsid w:val="00520275"/>
    <w:rsid w:val="00520306"/>
    <w:rsid w:val="00520410"/>
    <w:rsid w:val="00520443"/>
    <w:rsid w:val="0052049E"/>
    <w:rsid w:val="005204FA"/>
    <w:rsid w:val="0052051A"/>
    <w:rsid w:val="005207F5"/>
    <w:rsid w:val="00520D57"/>
    <w:rsid w:val="005213A5"/>
    <w:rsid w:val="00521893"/>
    <w:rsid w:val="00521A71"/>
    <w:rsid w:val="00521A85"/>
    <w:rsid w:val="00521B1E"/>
    <w:rsid w:val="00521BD5"/>
    <w:rsid w:val="00521DDF"/>
    <w:rsid w:val="00522095"/>
    <w:rsid w:val="00522100"/>
    <w:rsid w:val="00522119"/>
    <w:rsid w:val="00522132"/>
    <w:rsid w:val="0052214B"/>
    <w:rsid w:val="005221D5"/>
    <w:rsid w:val="00522220"/>
    <w:rsid w:val="0052228A"/>
    <w:rsid w:val="005223F7"/>
    <w:rsid w:val="00522458"/>
    <w:rsid w:val="00522621"/>
    <w:rsid w:val="00522789"/>
    <w:rsid w:val="00522BAE"/>
    <w:rsid w:val="00522BD1"/>
    <w:rsid w:val="00522EDF"/>
    <w:rsid w:val="00522FC0"/>
    <w:rsid w:val="0052335E"/>
    <w:rsid w:val="0052343D"/>
    <w:rsid w:val="005234CB"/>
    <w:rsid w:val="0052395E"/>
    <w:rsid w:val="00523AE0"/>
    <w:rsid w:val="00523C57"/>
    <w:rsid w:val="0052404C"/>
    <w:rsid w:val="00524137"/>
    <w:rsid w:val="00524145"/>
    <w:rsid w:val="0052414D"/>
    <w:rsid w:val="0052416D"/>
    <w:rsid w:val="0052454A"/>
    <w:rsid w:val="0052476A"/>
    <w:rsid w:val="00524A3F"/>
    <w:rsid w:val="00524A9B"/>
    <w:rsid w:val="00524CD9"/>
    <w:rsid w:val="00524FB8"/>
    <w:rsid w:val="00525746"/>
    <w:rsid w:val="00525DB8"/>
    <w:rsid w:val="005261FE"/>
    <w:rsid w:val="00526621"/>
    <w:rsid w:val="005268DC"/>
    <w:rsid w:val="005268DF"/>
    <w:rsid w:val="00526941"/>
    <w:rsid w:val="00526D66"/>
    <w:rsid w:val="00526E0E"/>
    <w:rsid w:val="00527162"/>
    <w:rsid w:val="00527250"/>
    <w:rsid w:val="00527608"/>
    <w:rsid w:val="005276FF"/>
    <w:rsid w:val="00527768"/>
    <w:rsid w:val="005279D4"/>
    <w:rsid w:val="00527CEA"/>
    <w:rsid w:val="00527E39"/>
    <w:rsid w:val="00527FF7"/>
    <w:rsid w:val="0053008E"/>
    <w:rsid w:val="005300FB"/>
    <w:rsid w:val="005302BC"/>
    <w:rsid w:val="0053050E"/>
    <w:rsid w:val="005305E9"/>
    <w:rsid w:val="00530811"/>
    <w:rsid w:val="00530990"/>
    <w:rsid w:val="005309EB"/>
    <w:rsid w:val="00530A78"/>
    <w:rsid w:val="00530AFD"/>
    <w:rsid w:val="00530BAD"/>
    <w:rsid w:val="00530BF6"/>
    <w:rsid w:val="00530E1D"/>
    <w:rsid w:val="00530EC2"/>
    <w:rsid w:val="00530F6C"/>
    <w:rsid w:val="00531154"/>
    <w:rsid w:val="005311D2"/>
    <w:rsid w:val="00531298"/>
    <w:rsid w:val="005312F1"/>
    <w:rsid w:val="0053159C"/>
    <w:rsid w:val="0053177D"/>
    <w:rsid w:val="00531B51"/>
    <w:rsid w:val="00531C2E"/>
    <w:rsid w:val="00531E0E"/>
    <w:rsid w:val="00531F73"/>
    <w:rsid w:val="0053246B"/>
    <w:rsid w:val="005324E8"/>
    <w:rsid w:val="0053268E"/>
    <w:rsid w:val="00532732"/>
    <w:rsid w:val="005328BB"/>
    <w:rsid w:val="00532A4F"/>
    <w:rsid w:val="00532C6D"/>
    <w:rsid w:val="00532DE3"/>
    <w:rsid w:val="0053313A"/>
    <w:rsid w:val="00533203"/>
    <w:rsid w:val="0053348E"/>
    <w:rsid w:val="005334AE"/>
    <w:rsid w:val="00533516"/>
    <w:rsid w:val="005335C2"/>
    <w:rsid w:val="005335C5"/>
    <w:rsid w:val="00533881"/>
    <w:rsid w:val="00533927"/>
    <w:rsid w:val="005339AA"/>
    <w:rsid w:val="00533B6E"/>
    <w:rsid w:val="00533BB0"/>
    <w:rsid w:val="00533BB2"/>
    <w:rsid w:val="00533ECA"/>
    <w:rsid w:val="00533EE1"/>
    <w:rsid w:val="00533F66"/>
    <w:rsid w:val="005343BD"/>
    <w:rsid w:val="005344D9"/>
    <w:rsid w:val="00534564"/>
    <w:rsid w:val="0053459A"/>
    <w:rsid w:val="00534646"/>
    <w:rsid w:val="005347BA"/>
    <w:rsid w:val="0053487C"/>
    <w:rsid w:val="0053490B"/>
    <w:rsid w:val="00534F2D"/>
    <w:rsid w:val="00534F93"/>
    <w:rsid w:val="00535071"/>
    <w:rsid w:val="005351A9"/>
    <w:rsid w:val="005353AE"/>
    <w:rsid w:val="005353E5"/>
    <w:rsid w:val="00535AE2"/>
    <w:rsid w:val="00535BC1"/>
    <w:rsid w:val="00535C4A"/>
    <w:rsid w:val="00535D42"/>
    <w:rsid w:val="00535EDE"/>
    <w:rsid w:val="00535F1F"/>
    <w:rsid w:val="005360C0"/>
    <w:rsid w:val="005361EA"/>
    <w:rsid w:val="0053636D"/>
    <w:rsid w:val="005363A0"/>
    <w:rsid w:val="005363D6"/>
    <w:rsid w:val="00536553"/>
    <w:rsid w:val="00536E6B"/>
    <w:rsid w:val="005370B7"/>
    <w:rsid w:val="0053710C"/>
    <w:rsid w:val="00537270"/>
    <w:rsid w:val="00537597"/>
    <w:rsid w:val="00537769"/>
    <w:rsid w:val="00537C28"/>
    <w:rsid w:val="00537EF9"/>
    <w:rsid w:val="00537F18"/>
    <w:rsid w:val="005401EE"/>
    <w:rsid w:val="005402F7"/>
    <w:rsid w:val="005404CB"/>
    <w:rsid w:val="005404FA"/>
    <w:rsid w:val="005405C6"/>
    <w:rsid w:val="00540616"/>
    <w:rsid w:val="0054083F"/>
    <w:rsid w:val="00540981"/>
    <w:rsid w:val="005409A5"/>
    <w:rsid w:val="005409F6"/>
    <w:rsid w:val="00540A64"/>
    <w:rsid w:val="00540A77"/>
    <w:rsid w:val="00540D4D"/>
    <w:rsid w:val="00540E6A"/>
    <w:rsid w:val="005411F4"/>
    <w:rsid w:val="00541272"/>
    <w:rsid w:val="00541290"/>
    <w:rsid w:val="0054155C"/>
    <w:rsid w:val="0054176C"/>
    <w:rsid w:val="00541D1E"/>
    <w:rsid w:val="00541E31"/>
    <w:rsid w:val="00541FA7"/>
    <w:rsid w:val="005421B9"/>
    <w:rsid w:val="00542307"/>
    <w:rsid w:val="00542552"/>
    <w:rsid w:val="00542998"/>
    <w:rsid w:val="00542AF5"/>
    <w:rsid w:val="00542B20"/>
    <w:rsid w:val="00542C73"/>
    <w:rsid w:val="00542EA7"/>
    <w:rsid w:val="00542EEC"/>
    <w:rsid w:val="00542F34"/>
    <w:rsid w:val="005430A0"/>
    <w:rsid w:val="005430AE"/>
    <w:rsid w:val="0054311C"/>
    <w:rsid w:val="00543238"/>
    <w:rsid w:val="00543315"/>
    <w:rsid w:val="005436DC"/>
    <w:rsid w:val="00543BCB"/>
    <w:rsid w:val="00543E76"/>
    <w:rsid w:val="00543F37"/>
    <w:rsid w:val="00543F68"/>
    <w:rsid w:val="0054416A"/>
    <w:rsid w:val="00544B3A"/>
    <w:rsid w:val="00544C70"/>
    <w:rsid w:val="00544DAF"/>
    <w:rsid w:val="00544F48"/>
    <w:rsid w:val="005450E6"/>
    <w:rsid w:val="00545148"/>
    <w:rsid w:val="005452D2"/>
    <w:rsid w:val="00545458"/>
    <w:rsid w:val="00545B9A"/>
    <w:rsid w:val="00546345"/>
    <w:rsid w:val="005463D9"/>
    <w:rsid w:val="00546460"/>
    <w:rsid w:val="00546575"/>
    <w:rsid w:val="00546912"/>
    <w:rsid w:val="00546AB3"/>
    <w:rsid w:val="00546B89"/>
    <w:rsid w:val="00546F9C"/>
    <w:rsid w:val="00547269"/>
    <w:rsid w:val="0054754D"/>
    <w:rsid w:val="00547751"/>
    <w:rsid w:val="005477B2"/>
    <w:rsid w:val="00547845"/>
    <w:rsid w:val="0054788D"/>
    <w:rsid w:val="0054790B"/>
    <w:rsid w:val="005479A2"/>
    <w:rsid w:val="00547AF7"/>
    <w:rsid w:val="00547D19"/>
    <w:rsid w:val="00547D64"/>
    <w:rsid w:val="00547F9D"/>
    <w:rsid w:val="00547FF7"/>
    <w:rsid w:val="00550481"/>
    <w:rsid w:val="005506F7"/>
    <w:rsid w:val="00550709"/>
    <w:rsid w:val="00550879"/>
    <w:rsid w:val="00550A21"/>
    <w:rsid w:val="00550B53"/>
    <w:rsid w:val="00550BE2"/>
    <w:rsid w:val="00550D85"/>
    <w:rsid w:val="00550DDA"/>
    <w:rsid w:val="0055117B"/>
    <w:rsid w:val="005512F2"/>
    <w:rsid w:val="0055132F"/>
    <w:rsid w:val="005514CC"/>
    <w:rsid w:val="0055166F"/>
    <w:rsid w:val="00551990"/>
    <w:rsid w:val="00551A5A"/>
    <w:rsid w:val="00551CA8"/>
    <w:rsid w:val="00551CBB"/>
    <w:rsid w:val="00551D03"/>
    <w:rsid w:val="00551FF3"/>
    <w:rsid w:val="00552220"/>
    <w:rsid w:val="00552622"/>
    <w:rsid w:val="00552697"/>
    <w:rsid w:val="00552A43"/>
    <w:rsid w:val="00552B44"/>
    <w:rsid w:val="00552EDF"/>
    <w:rsid w:val="005531FD"/>
    <w:rsid w:val="0055372C"/>
    <w:rsid w:val="005538A6"/>
    <w:rsid w:val="0055397E"/>
    <w:rsid w:val="00553AAA"/>
    <w:rsid w:val="00553D7B"/>
    <w:rsid w:val="00553E6D"/>
    <w:rsid w:val="00553F9F"/>
    <w:rsid w:val="00554143"/>
    <w:rsid w:val="0055422F"/>
    <w:rsid w:val="0055461C"/>
    <w:rsid w:val="00554653"/>
    <w:rsid w:val="00554731"/>
    <w:rsid w:val="005548FE"/>
    <w:rsid w:val="00554BBB"/>
    <w:rsid w:val="00555134"/>
    <w:rsid w:val="00555388"/>
    <w:rsid w:val="00555537"/>
    <w:rsid w:val="00555927"/>
    <w:rsid w:val="00555C58"/>
    <w:rsid w:val="00556201"/>
    <w:rsid w:val="0055626A"/>
    <w:rsid w:val="005562A8"/>
    <w:rsid w:val="005562AA"/>
    <w:rsid w:val="0055647F"/>
    <w:rsid w:val="00556498"/>
    <w:rsid w:val="00556518"/>
    <w:rsid w:val="0055661E"/>
    <w:rsid w:val="00556661"/>
    <w:rsid w:val="005566EB"/>
    <w:rsid w:val="00556744"/>
    <w:rsid w:val="005568AA"/>
    <w:rsid w:val="00556B0A"/>
    <w:rsid w:val="00556C08"/>
    <w:rsid w:val="00556D27"/>
    <w:rsid w:val="00556EB2"/>
    <w:rsid w:val="00556F42"/>
    <w:rsid w:val="00556FCE"/>
    <w:rsid w:val="00557191"/>
    <w:rsid w:val="00557270"/>
    <w:rsid w:val="0055736E"/>
    <w:rsid w:val="0055744C"/>
    <w:rsid w:val="005574EC"/>
    <w:rsid w:val="00557551"/>
    <w:rsid w:val="00557566"/>
    <w:rsid w:val="00557661"/>
    <w:rsid w:val="005577F1"/>
    <w:rsid w:val="00557BAA"/>
    <w:rsid w:val="00557CC2"/>
    <w:rsid w:val="00557E12"/>
    <w:rsid w:val="00557F4C"/>
    <w:rsid w:val="00557FD9"/>
    <w:rsid w:val="00560191"/>
    <w:rsid w:val="0056028D"/>
    <w:rsid w:val="00560323"/>
    <w:rsid w:val="005604A8"/>
    <w:rsid w:val="0056060B"/>
    <w:rsid w:val="00560798"/>
    <w:rsid w:val="005607A8"/>
    <w:rsid w:val="005607CA"/>
    <w:rsid w:val="00560A9A"/>
    <w:rsid w:val="00560F54"/>
    <w:rsid w:val="005612B8"/>
    <w:rsid w:val="00561407"/>
    <w:rsid w:val="005614B4"/>
    <w:rsid w:val="005614C9"/>
    <w:rsid w:val="0056192E"/>
    <w:rsid w:val="00561A5A"/>
    <w:rsid w:val="00561B98"/>
    <w:rsid w:val="00561E17"/>
    <w:rsid w:val="00562107"/>
    <w:rsid w:val="005622EA"/>
    <w:rsid w:val="0056246C"/>
    <w:rsid w:val="00562639"/>
    <w:rsid w:val="00562737"/>
    <w:rsid w:val="00562738"/>
    <w:rsid w:val="0056279B"/>
    <w:rsid w:val="00562A72"/>
    <w:rsid w:val="00562BD7"/>
    <w:rsid w:val="00562D42"/>
    <w:rsid w:val="0056304A"/>
    <w:rsid w:val="00563196"/>
    <w:rsid w:val="00563303"/>
    <w:rsid w:val="005634FD"/>
    <w:rsid w:val="00563F5E"/>
    <w:rsid w:val="005642BB"/>
    <w:rsid w:val="005644C7"/>
    <w:rsid w:val="005645FD"/>
    <w:rsid w:val="00564730"/>
    <w:rsid w:val="00564933"/>
    <w:rsid w:val="0056497A"/>
    <w:rsid w:val="00564A98"/>
    <w:rsid w:val="00564ACF"/>
    <w:rsid w:val="00564AF8"/>
    <w:rsid w:val="00564B9F"/>
    <w:rsid w:val="00564C51"/>
    <w:rsid w:val="00564CE4"/>
    <w:rsid w:val="00564DBA"/>
    <w:rsid w:val="005650CE"/>
    <w:rsid w:val="0056517D"/>
    <w:rsid w:val="0056530D"/>
    <w:rsid w:val="00565335"/>
    <w:rsid w:val="00565413"/>
    <w:rsid w:val="00565425"/>
    <w:rsid w:val="00565462"/>
    <w:rsid w:val="00565484"/>
    <w:rsid w:val="00565873"/>
    <w:rsid w:val="00565D11"/>
    <w:rsid w:val="005661B0"/>
    <w:rsid w:val="005661DD"/>
    <w:rsid w:val="005662E8"/>
    <w:rsid w:val="00566376"/>
    <w:rsid w:val="00566489"/>
    <w:rsid w:val="005667A2"/>
    <w:rsid w:val="00566AB0"/>
    <w:rsid w:val="0056707A"/>
    <w:rsid w:val="005671BD"/>
    <w:rsid w:val="0056736E"/>
    <w:rsid w:val="005673C1"/>
    <w:rsid w:val="005676C4"/>
    <w:rsid w:val="005676CC"/>
    <w:rsid w:val="00567B25"/>
    <w:rsid w:val="00567D21"/>
    <w:rsid w:val="00567D96"/>
    <w:rsid w:val="00567DDE"/>
    <w:rsid w:val="00567FAF"/>
    <w:rsid w:val="0057003B"/>
    <w:rsid w:val="0057023C"/>
    <w:rsid w:val="00570401"/>
    <w:rsid w:val="005705F1"/>
    <w:rsid w:val="005709AD"/>
    <w:rsid w:val="00570B5E"/>
    <w:rsid w:val="00570C5D"/>
    <w:rsid w:val="00570CA3"/>
    <w:rsid w:val="0057105C"/>
    <w:rsid w:val="00571086"/>
    <w:rsid w:val="0057134B"/>
    <w:rsid w:val="005714C3"/>
    <w:rsid w:val="00571849"/>
    <w:rsid w:val="00571A3F"/>
    <w:rsid w:val="00571C8E"/>
    <w:rsid w:val="00571E37"/>
    <w:rsid w:val="00571EBC"/>
    <w:rsid w:val="00571F99"/>
    <w:rsid w:val="005720F6"/>
    <w:rsid w:val="0057258B"/>
    <w:rsid w:val="0057297A"/>
    <w:rsid w:val="00572D35"/>
    <w:rsid w:val="00572D5F"/>
    <w:rsid w:val="00572DAC"/>
    <w:rsid w:val="0057303F"/>
    <w:rsid w:val="0057309E"/>
    <w:rsid w:val="00573277"/>
    <w:rsid w:val="00573912"/>
    <w:rsid w:val="00573D93"/>
    <w:rsid w:val="005742CB"/>
    <w:rsid w:val="005743FA"/>
    <w:rsid w:val="005745EE"/>
    <w:rsid w:val="00574804"/>
    <w:rsid w:val="00574976"/>
    <w:rsid w:val="00574BBD"/>
    <w:rsid w:val="00574BC3"/>
    <w:rsid w:val="00574D74"/>
    <w:rsid w:val="00574DF9"/>
    <w:rsid w:val="005751B4"/>
    <w:rsid w:val="00575497"/>
    <w:rsid w:val="0057579E"/>
    <w:rsid w:val="00575803"/>
    <w:rsid w:val="005758B9"/>
    <w:rsid w:val="00575A5F"/>
    <w:rsid w:val="00575BA4"/>
    <w:rsid w:val="00575DAD"/>
    <w:rsid w:val="00575FFD"/>
    <w:rsid w:val="00576032"/>
    <w:rsid w:val="005760DD"/>
    <w:rsid w:val="005763C9"/>
    <w:rsid w:val="00576627"/>
    <w:rsid w:val="005767A4"/>
    <w:rsid w:val="00576802"/>
    <w:rsid w:val="005768BB"/>
    <w:rsid w:val="00576A73"/>
    <w:rsid w:val="00576D2E"/>
    <w:rsid w:val="00576DBA"/>
    <w:rsid w:val="0057714E"/>
    <w:rsid w:val="005773DB"/>
    <w:rsid w:val="00577416"/>
    <w:rsid w:val="005774FF"/>
    <w:rsid w:val="005778DA"/>
    <w:rsid w:val="00577D3C"/>
    <w:rsid w:val="00577D59"/>
    <w:rsid w:val="00577DCA"/>
    <w:rsid w:val="00577F16"/>
    <w:rsid w:val="00580475"/>
    <w:rsid w:val="0058059A"/>
    <w:rsid w:val="00580602"/>
    <w:rsid w:val="005806A5"/>
    <w:rsid w:val="00580727"/>
    <w:rsid w:val="0058088D"/>
    <w:rsid w:val="00580E6B"/>
    <w:rsid w:val="00581201"/>
    <w:rsid w:val="00581233"/>
    <w:rsid w:val="00581399"/>
    <w:rsid w:val="00581463"/>
    <w:rsid w:val="00581546"/>
    <w:rsid w:val="005816B8"/>
    <w:rsid w:val="00581742"/>
    <w:rsid w:val="00581793"/>
    <w:rsid w:val="0058198C"/>
    <w:rsid w:val="00581B55"/>
    <w:rsid w:val="00581BF6"/>
    <w:rsid w:val="00581C39"/>
    <w:rsid w:val="00581C46"/>
    <w:rsid w:val="00581C90"/>
    <w:rsid w:val="00581E10"/>
    <w:rsid w:val="00581E98"/>
    <w:rsid w:val="0058213A"/>
    <w:rsid w:val="005821C8"/>
    <w:rsid w:val="0058238E"/>
    <w:rsid w:val="005823B2"/>
    <w:rsid w:val="005823DA"/>
    <w:rsid w:val="00582593"/>
    <w:rsid w:val="00582716"/>
    <w:rsid w:val="005827D8"/>
    <w:rsid w:val="00582BA5"/>
    <w:rsid w:val="00582CCB"/>
    <w:rsid w:val="00583027"/>
    <w:rsid w:val="00583046"/>
    <w:rsid w:val="0058308D"/>
    <w:rsid w:val="00583276"/>
    <w:rsid w:val="00583337"/>
    <w:rsid w:val="00583398"/>
    <w:rsid w:val="005834AF"/>
    <w:rsid w:val="00583993"/>
    <w:rsid w:val="00583F42"/>
    <w:rsid w:val="00584117"/>
    <w:rsid w:val="00584258"/>
    <w:rsid w:val="005842A8"/>
    <w:rsid w:val="005844E8"/>
    <w:rsid w:val="005846A9"/>
    <w:rsid w:val="00584771"/>
    <w:rsid w:val="00584A43"/>
    <w:rsid w:val="00584B9A"/>
    <w:rsid w:val="00584CFB"/>
    <w:rsid w:val="00584D77"/>
    <w:rsid w:val="00584FF6"/>
    <w:rsid w:val="00585157"/>
    <w:rsid w:val="00585185"/>
    <w:rsid w:val="00585523"/>
    <w:rsid w:val="00585647"/>
    <w:rsid w:val="005856D5"/>
    <w:rsid w:val="00585770"/>
    <w:rsid w:val="00585AF6"/>
    <w:rsid w:val="00585B50"/>
    <w:rsid w:val="00585B69"/>
    <w:rsid w:val="00585D7D"/>
    <w:rsid w:val="00585E83"/>
    <w:rsid w:val="00585E98"/>
    <w:rsid w:val="00585ED1"/>
    <w:rsid w:val="00585F97"/>
    <w:rsid w:val="00585FFF"/>
    <w:rsid w:val="005860E2"/>
    <w:rsid w:val="00586157"/>
    <w:rsid w:val="00586249"/>
    <w:rsid w:val="00586298"/>
    <w:rsid w:val="0058634E"/>
    <w:rsid w:val="00586679"/>
    <w:rsid w:val="0058668B"/>
    <w:rsid w:val="0058673F"/>
    <w:rsid w:val="00586794"/>
    <w:rsid w:val="00586974"/>
    <w:rsid w:val="005869BE"/>
    <w:rsid w:val="00586A1C"/>
    <w:rsid w:val="00586A2A"/>
    <w:rsid w:val="00586AD5"/>
    <w:rsid w:val="00586CFB"/>
    <w:rsid w:val="00586D6E"/>
    <w:rsid w:val="00586DDD"/>
    <w:rsid w:val="00586DEE"/>
    <w:rsid w:val="00586E19"/>
    <w:rsid w:val="00587208"/>
    <w:rsid w:val="005872C9"/>
    <w:rsid w:val="00587326"/>
    <w:rsid w:val="0058766E"/>
    <w:rsid w:val="005877D7"/>
    <w:rsid w:val="005877E1"/>
    <w:rsid w:val="00587903"/>
    <w:rsid w:val="00587C60"/>
    <w:rsid w:val="0059038C"/>
    <w:rsid w:val="00590746"/>
    <w:rsid w:val="00590795"/>
    <w:rsid w:val="0059091A"/>
    <w:rsid w:val="0059094F"/>
    <w:rsid w:val="00590F2B"/>
    <w:rsid w:val="005916F8"/>
    <w:rsid w:val="00591877"/>
    <w:rsid w:val="005918C8"/>
    <w:rsid w:val="00591B22"/>
    <w:rsid w:val="00591B2A"/>
    <w:rsid w:val="00591B66"/>
    <w:rsid w:val="00591BD3"/>
    <w:rsid w:val="00591BF3"/>
    <w:rsid w:val="0059229D"/>
    <w:rsid w:val="00592398"/>
    <w:rsid w:val="00592422"/>
    <w:rsid w:val="005925EE"/>
    <w:rsid w:val="005925F8"/>
    <w:rsid w:val="0059260B"/>
    <w:rsid w:val="005928AF"/>
    <w:rsid w:val="00592B2A"/>
    <w:rsid w:val="00592DAC"/>
    <w:rsid w:val="00593102"/>
    <w:rsid w:val="0059379D"/>
    <w:rsid w:val="00593EEF"/>
    <w:rsid w:val="00593F28"/>
    <w:rsid w:val="0059417D"/>
    <w:rsid w:val="00594225"/>
    <w:rsid w:val="005943BB"/>
    <w:rsid w:val="005947D1"/>
    <w:rsid w:val="00594848"/>
    <w:rsid w:val="0059485C"/>
    <w:rsid w:val="005948D4"/>
    <w:rsid w:val="00594A11"/>
    <w:rsid w:val="00594C15"/>
    <w:rsid w:val="00594EAE"/>
    <w:rsid w:val="005952D3"/>
    <w:rsid w:val="005953C9"/>
    <w:rsid w:val="005959DF"/>
    <w:rsid w:val="00595C0E"/>
    <w:rsid w:val="00595E72"/>
    <w:rsid w:val="00595FC9"/>
    <w:rsid w:val="00595FFC"/>
    <w:rsid w:val="00596013"/>
    <w:rsid w:val="005960B0"/>
    <w:rsid w:val="005960C0"/>
    <w:rsid w:val="0059618D"/>
    <w:rsid w:val="005962D6"/>
    <w:rsid w:val="0059635E"/>
    <w:rsid w:val="005964E6"/>
    <w:rsid w:val="0059661A"/>
    <w:rsid w:val="005967C0"/>
    <w:rsid w:val="00596811"/>
    <w:rsid w:val="005968B8"/>
    <w:rsid w:val="00596A20"/>
    <w:rsid w:val="00596BCC"/>
    <w:rsid w:val="00596DA8"/>
    <w:rsid w:val="00596EE8"/>
    <w:rsid w:val="00596F00"/>
    <w:rsid w:val="00596FD8"/>
    <w:rsid w:val="00597235"/>
    <w:rsid w:val="005973BD"/>
    <w:rsid w:val="00597442"/>
    <w:rsid w:val="00597483"/>
    <w:rsid w:val="00597519"/>
    <w:rsid w:val="00597669"/>
    <w:rsid w:val="0059799A"/>
    <w:rsid w:val="00597BA5"/>
    <w:rsid w:val="00597F72"/>
    <w:rsid w:val="005A02A7"/>
    <w:rsid w:val="005A033C"/>
    <w:rsid w:val="005A0606"/>
    <w:rsid w:val="005A0BEF"/>
    <w:rsid w:val="005A0C3C"/>
    <w:rsid w:val="005A0E3A"/>
    <w:rsid w:val="005A0EC3"/>
    <w:rsid w:val="005A0F9D"/>
    <w:rsid w:val="005A0FFF"/>
    <w:rsid w:val="005A12A5"/>
    <w:rsid w:val="005A14EA"/>
    <w:rsid w:val="005A15FD"/>
    <w:rsid w:val="005A1E43"/>
    <w:rsid w:val="005A1FD6"/>
    <w:rsid w:val="005A20C8"/>
    <w:rsid w:val="005A228E"/>
    <w:rsid w:val="005A22F1"/>
    <w:rsid w:val="005A2370"/>
    <w:rsid w:val="005A24DB"/>
    <w:rsid w:val="005A265D"/>
    <w:rsid w:val="005A276F"/>
    <w:rsid w:val="005A284A"/>
    <w:rsid w:val="005A289C"/>
    <w:rsid w:val="005A292D"/>
    <w:rsid w:val="005A2A08"/>
    <w:rsid w:val="005A2AC3"/>
    <w:rsid w:val="005A2C1A"/>
    <w:rsid w:val="005A2C5C"/>
    <w:rsid w:val="005A2DD2"/>
    <w:rsid w:val="005A2F7E"/>
    <w:rsid w:val="005A30DE"/>
    <w:rsid w:val="005A3315"/>
    <w:rsid w:val="005A34A5"/>
    <w:rsid w:val="005A39AB"/>
    <w:rsid w:val="005A3D6B"/>
    <w:rsid w:val="005A3F2F"/>
    <w:rsid w:val="005A42C5"/>
    <w:rsid w:val="005A443B"/>
    <w:rsid w:val="005A4514"/>
    <w:rsid w:val="005A4F8A"/>
    <w:rsid w:val="005A4F92"/>
    <w:rsid w:val="005A585C"/>
    <w:rsid w:val="005A58C4"/>
    <w:rsid w:val="005A5BDE"/>
    <w:rsid w:val="005A5DEE"/>
    <w:rsid w:val="005A5F44"/>
    <w:rsid w:val="005A6061"/>
    <w:rsid w:val="005A6122"/>
    <w:rsid w:val="005A6375"/>
    <w:rsid w:val="005A6463"/>
    <w:rsid w:val="005A64B3"/>
    <w:rsid w:val="005A6644"/>
    <w:rsid w:val="005A6792"/>
    <w:rsid w:val="005A6995"/>
    <w:rsid w:val="005A6DDC"/>
    <w:rsid w:val="005A6E3B"/>
    <w:rsid w:val="005A6FD2"/>
    <w:rsid w:val="005A7111"/>
    <w:rsid w:val="005A75F7"/>
    <w:rsid w:val="005A7617"/>
    <w:rsid w:val="005A782A"/>
    <w:rsid w:val="005A78AD"/>
    <w:rsid w:val="005A7AA6"/>
    <w:rsid w:val="005A7C3C"/>
    <w:rsid w:val="005A7CF9"/>
    <w:rsid w:val="005A7EB5"/>
    <w:rsid w:val="005B01FD"/>
    <w:rsid w:val="005B02A0"/>
    <w:rsid w:val="005B04CC"/>
    <w:rsid w:val="005B055E"/>
    <w:rsid w:val="005B076C"/>
    <w:rsid w:val="005B08A8"/>
    <w:rsid w:val="005B09A3"/>
    <w:rsid w:val="005B0AA3"/>
    <w:rsid w:val="005B0DBD"/>
    <w:rsid w:val="005B0FDD"/>
    <w:rsid w:val="005B10F5"/>
    <w:rsid w:val="005B11E8"/>
    <w:rsid w:val="005B131D"/>
    <w:rsid w:val="005B1320"/>
    <w:rsid w:val="005B1324"/>
    <w:rsid w:val="005B14DA"/>
    <w:rsid w:val="005B18C9"/>
    <w:rsid w:val="005B1BBF"/>
    <w:rsid w:val="005B1E57"/>
    <w:rsid w:val="005B200F"/>
    <w:rsid w:val="005B20AD"/>
    <w:rsid w:val="005B21E6"/>
    <w:rsid w:val="005B227D"/>
    <w:rsid w:val="005B22C8"/>
    <w:rsid w:val="005B26A9"/>
    <w:rsid w:val="005B2805"/>
    <w:rsid w:val="005B2806"/>
    <w:rsid w:val="005B2AC4"/>
    <w:rsid w:val="005B2C41"/>
    <w:rsid w:val="005B2C5D"/>
    <w:rsid w:val="005B2CF2"/>
    <w:rsid w:val="005B30CC"/>
    <w:rsid w:val="005B311E"/>
    <w:rsid w:val="005B3230"/>
    <w:rsid w:val="005B32C8"/>
    <w:rsid w:val="005B33AC"/>
    <w:rsid w:val="005B33FC"/>
    <w:rsid w:val="005B34ED"/>
    <w:rsid w:val="005B3623"/>
    <w:rsid w:val="005B36C9"/>
    <w:rsid w:val="005B38D6"/>
    <w:rsid w:val="005B3A0C"/>
    <w:rsid w:val="005B3C45"/>
    <w:rsid w:val="005B3F65"/>
    <w:rsid w:val="005B3FB1"/>
    <w:rsid w:val="005B4322"/>
    <w:rsid w:val="005B4339"/>
    <w:rsid w:val="005B43CC"/>
    <w:rsid w:val="005B43E1"/>
    <w:rsid w:val="005B4503"/>
    <w:rsid w:val="005B450F"/>
    <w:rsid w:val="005B4522"/>
    <w:rsid w:val="005B4647"/>
    <w:rsid w:val="005B4741"/>
    <w:rsid w:val="005B4826"/>
    <w:rsid w:val="005B4893"/>
    <w:rsid w:val="005B4AFA"/>
    <w:rsid w:val="005B4B1A"/>
    <w:rsid w:val="005B4CD6"/>
    <w:rsid w:val="005B5090"/>
    <w:rsid w:val="005B5489"/>
    <w:rsid w:val="005B5498"/>
    <w:rsid w:val="005B5558"/>
    <w:rsid w:val="005B56CD"/>
    <w:rsid w:val="005B57C5"/>
    <w:rsid w:val="005B585B"/>
    <w:rsid w:val="005B587D"/>
    <w:rsid w:val="005B59C5"/>
    <w:rsid w:val="005B5B68"/>
    <w:rsid w:val="005B5BD5"/>
    <w:rsid w:val="005B5E2D"/>
    <w:rsid w:val="005B5EEF"/>
    <w:rsid w:val="005B5FCE"/>
    <w:rsid w:val="005B60B2"/>
    <w:rsid w:val="005B6B60"/>
    <w:rsid w:val="005B6C8B"/>
    <w:rsid w:val="005B6E84"/>
    <w:rsid w:val="005B6FC1"/>
    <w:rsid w:val="005B7526"/>
    <w:rsid w:val="005B75B6"/>
    <w:rsid w:val="005B75CD"/>
    <w:rsid w:val="005B761B"/>
    <w:rsid w:val="005B7620"/>
    <w:rsid w:val="005B7854"/>
    <w:rsid w:val="005B79C2"/>
    <w:rsid w:val="005B7A20"/>
    <w:rsid w:val="005B7B7B"/>
    <w:rsid w:val="005B7E66"/>
    <w:rsid w:val="005B7EA8"/>
    <w:rsid w:val="005C031A"/>
    <w:rsid w:val="005C0609"/>
    <w:rsid w:val="005C0A86"/>
    <w:rsid w:val="005C0CEA"/>
    <w:rsid w:val="005C0E78"/>
    <w:rsid w:val="005C0ED2"/>
    <w:rsid w:val="005C1096"/>
    <w:rsid w:val="005C10DC"/>
    <w:rsid w:val="005C1282"/>
    <w:rsid w:val="005C1301"/>
    <w:rsid w:val="005C1308"/>
    <w:rsid w:val="005C14EC"/>
    <w:rsid w:val="005C1AA8"/>
    <w:rsid w:val="005C1D0A"/>
    <w:rsid w:val="005C1ED8"/>
    <w:rsid w:val="005C1FB1"/>
    <w:rsid w:val="005C1FD7"/>
    <w:rsid w:val="005C2043"/>
    <w:rsid w:val="005C2225"/>
    <w:rsid w:val="005C230F"/>
    <w:rsid w:val="005C2690"/>
    <w:rsid w:val="005C2732"/>
    <w:rsid w:val="005C27A5"/>
    <w:rsid w:val="005C2838"/>
    <w:rsid w:val="005C2B78"/>
    <w:rsid w:val="005C2E51"/>
    <w:rsid w:val="005C3345"/>
    <w:rsid w:val="005C3422"/>
    <w:rsid w:val="005C3471"/>
    <w:rsid w:val="005C34F0"/>
    <w:rsid w:val="005C3661"/>
    <w:rsid w:val="005C37BE"/>
    <w:rsid w:val="005C3936"/>
    <w:rsid w:val="005C397E"/>
    <w:rsid w:val="005C3A6B"/>
    <w:rsid w:val="005C3E07"/>
    <w:rsid w:val="005C41A0"/>
    <w:rsid w:val="005C45E1"/>
    <w:rsid w:val="005C4625"/>
    <w:rsid w:val="005C4770"/>
    <w:rsid w:val="005C4796"/>
    <w:rsid w:val="005C49CA"/>
    <w:rsid w:val="005C4C46"/>
    <w:rsid w:val="005C4C66"/>
    <w:rsid w:val="005C4EF4"/>
    <w:rsid w:val="005C4F09"/>
    <w:rsid w:val="005C4F0B"/>
    <w:rsid w:val="005C50FF"/>
    <w:rsid w:val="005C52E6"/>
    <w:rsid w:val="005C530A"/>
    <w:rsid w:val="005C53FE"/>
    <w:rsid w:val="005C566F"/>
    <w:rsid w:val="005C583C"/>
    <w:rsid w:val="005C5A5B"/>
    <w:rsid w:val="005C5B22"/>
    <w:rsid w:val="005C5C69"/>
    <w:rsid w:val="005C5FFA"/>
    <w:rsid w:val="005C62F0"/>
    <w:rsid w:val="005C63E8"/>
    <w:rsid w:val="005C6400"/>
    <w:rsid w:val="005C64AE"/>
    <w:rsid w:val="005C65E2"/>
    <w:rsid w:val="005C67B3"/>
    <w:rsid w:val="005C6C44"/>
    <w:rsid w:val="005C6CE0"/>
    <w:rsid w:val="005C6CE8"/>
    <w:rsid w:val="005C705F"/>
    <w:rsid w:val="005C7112"/>
    <w:rsid w:val="005C7193"/>
    <w:rsid w:val="005C74F6"/>
    <w:rsid w:val="005C77A0"/>
    <w:rsid w:val="005C7BCE"/>
    <w:rsid w:val="005C7D68"/>
    <w:rsid w:val="005C7D8B"/>
    <w:rsid w:val="005C7DD6"/>
    <w:rsid w:val="005C7F7F"/>
    <w:rsid w:val="005D012E"/>
    <w:rsid w:val="005D094E"/>
    <w:rsid w:val="005D0D18"/>
    <w:rsid w:val="005D0D53"/>
    <w:rsid w:val="005D0E7E"/>
    <w:rsid w:val="005D1237"/>
    <w:rsid w:val="005D124D"/>
    <w:rsid w:val="005D1342"/>
    <w:rsid w:val="005D139D"/>
    <w:rsid w:val="005D1999"/>
    <w:rsid w:val="005D1C7D"/>
    <w:rsid w:val="005D1DD2"/>
    <w:rsid w:val="005D1DE4"/>
    <w:rsid w:val="005D2359"/>
    <w:rsid w:val="005D244F"/>
    <w:rsid w:val="005D248B"/>
    <w:rsid w:val="005D25BB"/>
    <w:rsid w:val="005D2686"/>
    <w:rsid w:val="005D2837"/>
    <w:rsid w:val="005D286E"/>
    <w:rsid w:val="005D2943"/>
    <w:rsid w:val="005D2AC4"/>
    <w:rsid w:val="005D2D6F"/>
    <w:rsid w:val="005D2EE2"/>
    <w:rsid w:val="005D2F6E"/>
    <w:rsid w:val="005D324E"/>
    <w:rsid w:val="005D3526"/>
    <w:rsid w:val="005D3624"/>
    <w:rsid w:val="005D3692"/>
    <w:rsid w:val="005D3721"/>
    <w:rsid w:val="005D3758"/>
    <w:rsid w:val="005D3E99"/>
    <w:rsid w:val="005D40BB"/>
    <w:rsid w:val="005D4421"/>
    <w:rsid w:val="005D457E"/>
    <w:rsid w:val="005D45D9"/>
    <w:rsid w:val="005D47BE"/>
    <w:rsid w:val="005D4800"/>
    <w:rsid w:val="005D4A12"/>
    <w:rsid w:val="005D4BAC"/>
    <w:rsid w:val="005D4DFD"/>
    <w:rsid w:val="005D4F2C"/>
    <w:rsid w:val="005D4F36"/>
    <w:rsid w:val="005D51C5"/>
    <w:rsid w:val="005D534E"/>
    <w:rsid w:val="005D5534"/>
    <w:rsid w:val="005D5954"/>
    <w:rsid w:val="005D5CE7"/>
    <w:rsid w:val="005D5CF9"/>
    <w:rsid w:val="005D62F4"/>
    <w:rsid w:val="005D67DA"/>
    <w:rsid w:val="005D6838"/>
    <w:rsid w:val="005D684F"/>
    <w:rsid w:val="005D6946"/>
    <w:rsid w:val="005D69AB"/>
    <w:rsid w:val="005D69CA"/>
    <w:rsid w:val="005D6DBF"/>
    <w:rsid w:val="005D6E5C"/>
    <w:rsid w:val="005D6F0B"/>
    <w:rsid w:val="005D70AA"/>
    <w:rsid w:val="005D732D"/>
    <w:rsid w:val="005D742A"/>
    <w:rsid w:val="005D7455"/>
    <w:rsid w:val="005D76DE"/>
    <w:rsid w:val="005D76FC"/>
    <w:rsid w:val="005D7771"/>
    <w:rsid w:val="005D797D"/>
    <w:rsid w:val="005D7C84"/>
    <w:rsid w:val="005E000C"/>
    <w:rsid w:val="005E017C"/>
    <w:rsid w:val="005E0250"/>
    <w:rsid w:val="005E02FB"/>
    <w:rsid w:val="005E0497"/>
    <w:rsid w:val="005E0642"/>
    <w:rsid w:val="005E0648"/>
    <w:rsid w:val="005E0840"/>
    <w:rsid w:val="005E0B9D"/>
    <w:rsid w:val="005E0D7C"/>
    <w:rsid w:val="005E0DB4"/>
    <w:rsid w:val="005E12BD"/>
    <w:rsid w:val="005E14A4"/>
    <w:rsid w:val="005E1535"/>
    <w:rsid w:val="005E1CAE"/>
    <w:rsid w:val="005E1F5B"/>
    <w:rsid w:val="005E2051"/>
    <w:rsid w:val="005E20F4"/>
    <w:rsid w:val="005E21F9"/>
    <w:rsid w:val="005E25A6"/>
    <w:rsid w:val="005E267F"/>
    <w:rsid w:val="005E26E9"/>
    <w:rsid w:val="005E2A7B"/>
    <w:rsid w:val="005E2AAC"/>
    <w:rsid w:val="005E2B76"/>
    <w:rsid w:val="005E2F25"/>
    <w:rsid w:val="005E316D"/>
    <w:rsid w:val="005E3170"/>
    <w:rsid w:val="005E3209"/>
    <w:rsid w:val="005E3322"/>
    <w:rsid w:val="005E3589"/>
    <w:rsid w:val="005E361B"/>
    <w:rsid w:val="005E382D"/>
    <w:rsid w:val="005E388C"/>
    <w:rsid w:val="005E3A3C"/>
    <w:rsid w:val="005E3F17"/>
    <w:rsid w:val="005E4310"/>
    <w:rsid w:val="005E449E"/>
    <w:rsid w:val="005E46C8"/>
    <w:rsid w:val="005E4BF0"/>
    <w:rsid w:val="005E4CAA"/>
    <w:rsid w:val="005E4D1A"/>
    <w:rsid w:val="005E4E22"/>
    <w:rsid w:val="005E52B5"/>
    <w:rsid w:val="005E5475"/>
    <w:rsid w:val="005E5729"/>
    <w:rsid w:val="005E57CA"/>
    <w:rsid w:val="005E57D8"/>
    <w:rsid w:val="005E5BBA"/>
    <w:rsid w:val="005E6305"/>
    <w:rsid w:val="005E695A"/>
    <w:rsid w:val="005E6DBC"/>
    <w:rsid w:val="005E6E3B"/>
    <w:rsid w:val="005E6EE3"/>
    <w:rsid w:val="005E70FB"/>
    <w:rsid w:val="005E71AD"/>
    <w:rsid w:val="005E7647"/>
    <w:rsid w:val="005E794A"/>
    <w:rsid w:val="005E79BA"/>
    <w:rsid w:val="005E7B35"/>
    <w:rsid w:val="005E7C88"/>
    <w:rsid w:val="005E7D06"/>
    <w:rsid w:val="005E7FAF"/>
    <w:rsid w:val="005F0217"/>
    <w:rsid w:val="005F0679"/>
    <w:rsid w:val="005F06D1"/>
    <w:rsid w:val="005F0E07"/>
    <w:rsid w:val="005F16DC"/>
    <w:rsid w:val="005F17D8"/>
    <w:rsid w:val="005F1853"/>
    <w:rsid w:val="005F1C2F"/>
    <w:rsid w:val="005F1F4B"/>
    <w:rsid w:val="005F213C"/>
    <w:rsid w:val="005F231B"/>
    <w:rsid w:val="005F2383"/>
    <w:rsid w:val="005F2588"/>
    <w:rsid w:val="005F2732"/>
    <w:rsid w:val="005F28FF"/>
    <w:rsid w:val="005F2B13"/>
    <w:rsid w:val="005F2C46"/>
    <w:rsid w:val="005F2E27"/>
    <w:rsid w:val="005F2F3E"/>
    <w:rsid w:val="005F33A9"/>
    <w:rsid w:val="005F33E5"/>
    <w:rsid w:val="005F354B"/>
    <w:rsid w:val="005F357F"/>
    <w:rsid w:val="005F3BE7"/>
    <w:rsid w:val="005F3DD4"/>
    <w:rsid w:val="005F4030"/>
    <w:rsid w:val="005F41E2"/>
    <w:rsid w:val="005F42F6"/>
    <w:rsid w:val="005F4319"/>
    <w:rsid w:val="005F44B7"/>
    <w:rsid w:val="005F4743"/>
    <w:rsid w:val="005F4BC0"/>
    <w:rsid w:val="005F4CE6"/>
    <w:rsid w:val="005F4D97"/>
    <w:rsid w:val="005F4DB2"/>
    <w:rsid w:val="005F51F4"/>
    <w:rsid w:val="005F5237"/>
    <w:rsid w:val="005F5318"/>
    <w:rsid w:val="005F5540"/>
    <w:rsid w:val="005F56DA"/>
    <w:rsid w:val="005F586A"/>
    <w:rsid w:val="005F5CCE"/>
    <w:rsid w:val="005F5E5C"/>
    <w:rsid w:val="005F5F74"/>
    <w:rsid w:val="005F60DD"/>
    <w:rsid w:val="005F61AD"/>
    <w:rsid w:val="005F6469"/>
    <w:rsid w:val="005F6501"/>
    <w:rsid w:val="005F6533"/>
    <w:rsid w:val="005F65FA"/>
    <w:rsid w:val="005F6748"/>
    <w:rsid w:val="005F6963"/>
    <w:rsid w:val="005F69FE"/>
    <w:rsid w:val="005F6A13"/>
    <w:rsid w:val="005F7089"/>
    <w:rsid w:val="005F717F"/>
    <w:rsid w:val="005F7193"/>
    <w:rsid w:val="005F729A"/>
    <w:rsid w:val="005F7307"/>
    <w:rsid w:val="005F7627"/>
    <w:rsid w:val="005F7704"/>
    <w:rsid w:val="005F7800"/>
    <w:rsid w:val="005F7995"/>
    <w:rsid w:val="005F7A29"/>
    <w:rsid w:val="005F7C24"/>
    <w:rsid w:val="00600139"/>
    <w:rsid w:val="00600148"/>
    <w:rsid w:val="00600479"/>
    <w:rsid w:val="00600584"/>
    <w:rsid w:val="006005C6"/>
    <w:rsid w:val="006012BF"/>
    <w:rsid w:val="00601581"/>
    <w:rsid w:val="00601701"/>
    <w:rsid w:val="00601808"/>
    <w:rsid w:val="006018CC"/>
    <w:rsid w:val="006019F3"/>
    <w:rsid w:val="00601B42"/>
    <w:rsid w:val="00601EF0"/>
    <w:rsid w:val="00602033"/>
    <w:rsid w:val="006022CD"/>
    <w:rsid w:val="006022DC"/>
    <w:rsid w:val="00602499"/>
    <w:rsid w:val="00602815"/>
    <w:rsid w:val="00602824"/>
    <w:rsid w:val="0060287C"/>
    <w:rsid w:val="0060293D"/>
    <w:rsid w:val="0060293E"/>
    <w:rsid w:val="00602AD1"/>
    <w:rsid w:val="00602B2E"/>
    <w:rsid w:val="00602B6E"/>
    <w:rsid w:val="0060301B"/>
    <w:rsid w:val="0060321A"/>
    <w:rsid w:val="00603386"/>
    <w:rsid w:val="006036C5"/>
    <w:rsid w:val="00603727"/>
    <w:rsid w:val="00603CF3"/>
    <w:rsid w:val="00603E48"/>
    <w:rsid w:val="00603F76"/>
    <w:rsid w:val="006040AC"/>
    <w:rsid w:val="0060427B"/>
    <w:rsid w:val="00604948"/>
    <w:rsid w:val="0060505A"/>
    <w:rsid w:val="006054AA"/>
    <w:rsid w:val="006057EA"/>
    <w:rsid w:val="006058EF"/>
    <w:rsid w:val="00605997"/>
    <w:rsid w:val="00605A20"/>
    <w:rsid w:val="00605B5D"/>
    <w:rsid w:val="00605B90"/>
    <w:rsid w:val="00605F60"/>
    <w:rsid w:val="00606055"/>
    <w:rsid w:val="0060618C"/>
    <w:rsid w:val="006063C3"/>
    <w:rsid w:val="006065F7"/>
    <w:rsid w:val="00606806"/>
    <w:rsid w:val="006069EB"/>
    <w:rsid w:val="00606B48"/>
    <w:rsid w:val="00606B63"/>
    <w:rsid w:val="00606D4D"/>
    <w:rsid w:val="00606DD4"/>
    <w:rsid w:val="0060745E"/>
    <w:rsid w:val="006076B1"/>
    <w:rsid w:val="0060778A"/>
    <w:rsid w:val="006077C8"/>
    <w:rsid w:val="0060781E"/>
    <w:rsid w:val="00607879"/>
    <w:rsid w:val="0060799D"/>
    <w:rsid w:val="006079D7"/>
    <w:rsid w:val="00607BFC"/>
    <w:rsid w:val="00607CFC"/>
    <w:rsid w:val="00607E6E"/>
    <w:rsid w:val="0061004C"/>
    <w:rsid w:val="0061006D"/>
    <w:rsid w:val="00610195"/>
    <w:rsid w:val="006101E9"/>
    <w:rsid w:val="006102B4"/>
    <w:rsid w:val="00610375"/>
    <w:rsid w:val="0061049C"/>
    <w:rsid w:val="00610794"/>
    <w:rsid w:val="006109C6"/>
    <w:rsid w:val="006109E8"/>
    <w:rsid w:val="00610C09"/>
    <w:rsid w:val="00610E03"/>
    <w:rsid w:val="00611258"/>
    <w:rsid w:val="00611455"/>
    <w:rsid w:val="006115E8"/>
    <w:rsid w:val="00611601"/>
    <w:rsid w:val="0061167A"/>
    <w:rsid w:val="00611786"/>
    <w:rsid w:val="00611858"/>
    <w:rsid w:val="006118A7"/>
    <w:rsid w:val="00611A31"/>
    <w:rsid w:val="00611B0C"/>
    <w:rsid w:val="00611F25"/>
    <w:rsid w:val="006120FA"/>
    <w:rsid w:val="006123D8"/>
    <w:rsid w:val="00612997"/>
    <w:rsid w:val="00612D26"/>
    <w:rsid w:val="00613000"/>
    <w:rsid w:val="00613051"/>
    <w:rsid w:val="0061313C"/>
    <w:rsid w:val="0061340C"/>
    <w:rsid w:val="00613484"/>
    <w:rsid w:val="006138D9"/>
    <w:rsid w:val="0061398F"/>
    <w:rsid w:val="006139E6"/>
    <w:rsid w:val="00613BDD"/>
    <w:rsid w:val="00613DAD"/>
    <w:rsid w:val="00613DBC"/>
    <w:rsid w:val="00613E8A"/>
    <w:rsid w:val="0061420B"/>
    <w:rsid w:val="0061448C"/>
    <w:rsid w:val="0061456B"/>
    <w:rsid w:val="006147C1"/>
    <w:rsid w:val="006147C2"/>
    <w:rsid w:val="006147C8"/>
    <w:rsid w:val="00614C99"/>
    <w:rsid w:val="006151CC"/>
    <w:rsid w:val="006153D8"/>
    <w:rsid w:val="00615463"/>
    <w:rsid w:val="006154D9"/>
    <w:rsid w:val="00615558"/>
    <w:rsid w:val="00615723"/>
    <w:rsid w:val="00615A7D"/>
    <w:rsid w:val="00615AF6"/>
    <w:rsid w:val="00615BE5"/>
    <w:rsid w:val="00615C46"/>
    <w:rsid w:val="00615E8D"/>
    <w:rsid w:val="00615FB9"/>
    <w:rsid w:val="0061603B"/>
    <w:rsid w:val="006167B5"/>
    <w:rsid w:val="0061681C"/>
    <w:rsid w:val="00616D37"/>
    <w:rsid w:val="00616D78"/>
    <w:rsid w:val="00616EBB"/>
    <w:rsid w:val="00617039"/>
    <w:rsid w:val="006171DB"/>
    <w:rsid w:val="00617334"/>
    <w:rsid w:val="006173E5"/>
    <w:rsid w:val="00617D3E"/>
    <w:rsid w:val="00617E4A"/>
    <w:rsid w:val="00617F30"/>
    <w:rsid w:val="00617F7A"/>
    <w:rsid w:val="00617F8E"/>
    <w:rsid w:val="00617FD4"/>
    <w:rsid w:val="006200D8"/>
    <w:rsid w:val="0062024E"/>
    <w:rsid w:val="006204F0"/>
    <w:rsid w:val="00620637"/>
    <w:rsid w:val="0062070D"/>
    <w:rsid w:val="006208EC"/>
    <w:rsid w:val="006208F5"/>
    <w:rsid w:val="00620B06"/>
    <w:rsid w:val="00620B2B"/>
    <w:rsid w:val="00620DA4"/>
    <w:rsid w:val="006212B9"/>
    <w:rsid w:val="006213B2"/>
    <w:rsid w:val="00621536"/>
    <w:rsid w:val="00621541"/>
    <w:rsid w:val="00621633"/>
    <w:rsid w:val="00621B1F"/>
    <w:rsid w:val="00621DD8"/>
    <w:rsid w:val="00621E92"/>
    <w:rsid w:val="00621F79"/>
    <w:rsid w:val="00621FA1"/>
    <w:rsid w:val="00621FAC"/>
    <w:rsid w:val="00622046"/>
    <w:rsid w:val="00622464"/>
    <w:rsid w:val="006225DA"/>
    <w:rsid w:val="00622662"/>
    <w:rsid w:val="0062286B"/>
    <w:rsid w:val="006228FF"/>
    <w:rsid w:val="00622C9D"/>
    <w:rsid w:val="00622EB2"/>
    <w:rsid w:val="0062318C"/>
    <w:rsid w:val="006231F9"/>
    <w:rsid w:val="0062334F"/>
    <w:rsid w:val="006233EA"/>
    <w:rsid w:val="0062347E"/>
    <w:rsid w:val="0062366A"/>
    <w:rsid w:val="00623716"/>
    <w:rsid w:val="006238CF"/>
    <w:rsid w:val="006238FB"/>
    <w:rsid w:val="00623A16"/>
    <w:rsid w:val="00623DB0"/>
    <w:rsid w:val="00623ED6"/>
    <w:rsid w:val="00623F3B"/>
    <w:rsid w:val="006240A1"/>
    <w:rsid w:val="006241CA"/>
    <w:rsid w:val="00624279"/>
    <w:rsid w:val="006247C6"/>
    <w:rsid w:val="00624806"/>
    <w:rsid w:val="00624810"/>
    <w:rsid w:val="00624953"/>
    <w:rsid w:val="00624D32"/>
    <w:rsid w:val="00624F25"/>
    <w:rsid w:val="00624F40"/>
    <w:rsid w:val="0062505C"/>
    <w:rsid w:val="006251E0"/>
    <w:rsid w:val="006252DB"/>
    <w:rsid w:val="0062535A"/>
    <w:rsid w:val="00625465"/>
    <w:rsid w:val="00625AB3"/>
    <w:rsid w:val="00625CE4"/>
    <w:rsid w:val="00625E03"/>
    <w:rsid w:val="006260B5"/>
    <w:rsid w:val="006260B9"/>
    <w:rsid w:val="00626159"/>
    <w:rsid w:val="00626226"/>
    <w:rsid w:val="00626594"/>
    <w:rsid w:val="0062679E"/>
    <w:rsid w:val="006267AF"/>
    <w:rsid w:val="006267C0"/>
    <w:rsid w:val="0062695A"/>
    <w:rsid w:val="00626AB2"/>
    <w:rsid w:val="00626CCD"/>
    <w:rsid w:val="00626D3E"/>
    <w:rsid w:val="00626ED5"/>
    <w:rsid w:val="0062720C"/>
    <w:rsid w:val="006274C2"/>
    <w:rsid w:val="00627679"/>
    <w:rsid w:val="006277BF"/>
    <w:rsid w:val="006278FC"/>
    <w:rsid w:val="0062799C"/>
    <w:rsid w:val="00627C38"/>
    <w:rsid w:val="00627CB6"/>
    <w:rsid w:val="00627F02"/>
    <w:rsid w:val="006302B6"/>
    <w:rsid w:val="006306F2"/>
    <w:rsid w:val="00630A2A"/>
    <w:rsid w:val="00630B45"/>
    <w:rsid w:val="006314DB"/>
    <w:rsid w:val="006315FB"/>
    <w:rsid w:val="00631A11"/>
    <w:rsid w:val="00631E1E"/>
    <w:rsid w:val="006321B4"/>
    <w:rsid w:val="006321CF"/>
    <w:rsid w:val="006324D7"/>
    <w:rsid w:val="006326E9"/>
    <w:rsid w:val="006328FB"/>
    <w:rsid w:val="006329C7"/>
    <w:rsid w:val="00632DF0"/>
    <w:rsid w:val="00632E78"/>
    <w:rsid w:val="00632EF9"/>
    <w:rsid w:val="00633031"/>
    <w:rsid w:val="006336EE"/>
    <w:rsid w:val="00633FA4"/>
    <w:rsid w:val="00634044"/>
    <w:rsid w:val="00634076"/>
    <w:rsid w:val="006340F6"/>
    <w:rsid w:val="006346F6"/>
    <w:rsid w:val="00634C93"/>
    <w:rsid w:val="00634CBC"/>
    <w:rsid w:val="00634D40"/>
    <w:rsid w:val="00634DD5"/>
    <w:rsid w:val="00634F41"/>
    <w:rsid w:val="00635010"/>
    <w:rsid w:val="00635261"/>
    <w:rsid w:val="00635898"/>
    <w:rsid w:val="00635A5A"/>
    <w:rsid w:val="00635BC3"/>
    <w:rsid w:val="00635EAC"/>
    <w:rsid w:val="00636138"/>
    <w:rsid w:val="00636314"/>
    <w:rsid w:val="006368D1"/>
    <w:rsid w:val="006368F3"/>
    <w:rsid w:val="00636BD3"/>
    <w:rsid w:val="00636F9A"/>
    <w:rsid w:val="00636F9F"/>
    <w:rsid w:val="00636FBA"/>
    <w:rsid w:val="006370F8"/>
    <w:rsid w:val="006372C2"/>
    <w:rsid w:val="006372CF"/>
    <w:rsid w:val="0064005D"/>
    <w:rsid w:val="00640507"/>
    <w:rsid w:val="00640985"/>
    <w:rsid w:val="00640A08"/>
    <w:rsid w:val="00640AA9"/>
    <w:rsid w:val="00640CE0"/>
    <w:rsid w:val="00640D75"/>
    <w:rsid w:val="00640F05"/>
    <w:rsid w:val="00640F6F"/>
    <w:rsid w:val="0064120D"/>
    <w:rsid w:val="006414E2"/>
    <w:rsid w:val="006416E0"/>
    <w:rsid w:val="0064173B"/>
    <w:rsid w:val="006417D0"/>
    <w:rsid w:val="0064182B"/>
    <w:rsid w:val="00641B9E"/>
    <w:rsid w:val="00641CF9"/>
    <w:rsid w:val="00641F06"/>
    <w:rsid w:val="00642166"/>
    <w:rsid w:val="006424EE"/>
    <w:rsid w:val="00642576"/>
    <w:rsid w:val="00642C18"/>
    <w:rsid w:val="006430D9"/>
    <w:rsid w:val="00643357"/>
    <w:rsid w:val="006433E0"/>
    <w:rsid w:val="00643544"/>
    <w:rsid w:val="006435EC"/>
    <w:rsid w:val="006436AE"/>
    <w:rsid w:val="006438FB"/>
    <w:rsid w:val="00643C67"/>
    <w:rsid w:val="00643E99"/>
    <w:rsid w:val="00644091"/>
    <w:rsid w:val="006440D9"/>
    <w:rsid w:val="0064421E"/>
    <w:rsid w:val="006442CD"/>
    <w:rsid w:val="0064434D"/>
    <w:rsid w:val="006443DD"/>
    <w:rsid w:val="0064461A"/>
    <w:rsid w:val="0064462B"/>
    <w:rsid w:val="0064465A"/>
    <w:rsid w:val="006446CE"/>
    <w:rsid w:val="0064470C"/>
    <w:rsid w:val="00644B39"/>
    <w:rsid w:val="00644B60"/>
    <w:rsid w:val="00644C28"/>
    <w:rsid w:val="00645065"/>
    <w:rsid w:val="0064509D"/>
    <w:rsid w:val="00645234"/>
    <w:rsid w:val="006453C6"/>
    <w:rsid w:val="00645436"/>
    <w:rsid w:val="0064543B"/>
    <w:rsid w:val="0064574E"/>
    <w:rsid w:val="0064597A"/>
    <w:rsid w:val="00645B84"/>
    <w:rsid w:val="006466F5"/>
    <w:rsid w:val="0064679F"/>
    <w:rsid w:val="00646ACC"/>
    <w:rsid w:val="00646B0A"/>
    <w:rsid w:val="00646D2D"/>
    <w:rsid w:val="00646DF5"/>
    <w:rsid w:val="006470B3"/>
    <w:rsid w:val="00647216"/>
    <w:rsid w:val="00647360"/>
    <w:rsid w:val="006474CF"/>
    <w:rsid w:val="00647711"/>
    <w:rsid w:val="00647817"/>
    <w:rsid w:val="006479D2"/>
    <w:rsid w:val="00647D70"/>
    <w:rsid w:val="00650215"/>
    <w:rsid w:val="00650A00"/>
    <w:rsid w:val="00650F0E"/>
    <w:rsid w:val="00650F4B"/>
    <w:rsid w:val="006512D6"/>
    <w:rsid w:val="00651565"/>
    <w:rsid w:val="006516C8"/>
    <w:rsid w:val="00651773"/>
    <w:rsid w:val="006517A6"/>
    <w:rsid w:val="0065180C"/>
    <w:rsid w:val="00651A19"/>
    <w:rsid w:val="00651B20"/>
    <w:rsid w:val="006521B3"/>
    <w:rsid w:val="006521CF"/>
    <w:rsid w:val="006523E6"/>
    <w:rsid w:val="00652405"/>
    <w:rsid w:val="0065240C"/>
    <w:rsid w:val="006524B8"/>
    <w:rsid w:val="00652811"/>
    <w:rsid w:val="00652A11"/>
    <w:rsid w:val="00652ABE"/>
    <w:rsid w:val="00652AF8"/>
    <w:rsid w:val="00652D0C"/>
    <w:rsid w:val="00652D59"/>
    <w:rsid w:val="00652DC0"/>
    <w:rsid w:val="00652F69"/>
    <w:rsid w:val="0065320A"/>
    <w:rsid w:val="006532DD"/>
    <w:rsid w:val="0065335F"/>
    <w:rsid w:val="006533BE"/>
    <w:rsid w:val="006538CC"/>
    <w:rsid w:val="0065397C"/>
    <w:rsid w:val="00653B54"/>
    <w:rsid w:val="006540B7"/>
    <w:rsid w:val="00654248"/>
    <w:rsid w:val="00654289"/>
    <w:rsid w:val="00654522"/>
    <w:rsid w:val="00654692"/>
    <w:rsid w:val="00654D3D"/>
    <w:rsid w:val="00654DB2"/>
    <w:rsid w:val="00654EC2"/>
    <w:rsid w:val="00654FF9"/>
    <w:rsid w:val="00655051"/>
    <w:rsid w:val="006551CD"/>
    <w:rsid w:val="00655545"/>
    <w:rsid w:val="00655697"/>
    <w:rsid w:val="00655724"/>
    <w:rsid w:val="006557A1"/>
    <w:rsid w:val="00655881"/>
    <w:rsid w:val="0065589C"/>
    <w:rsid w:val="0065593B"/>
    <w:rsid w:val="006559F5"/>
    <w:rsid w:val="00655A0E"/>
    <w:rsid w:val="00655A8A"/>
    <w:rsid w:val="00655C65"/>
    <w:rsid w:val="00655D86"/>
    <w:rsid w:val="00655DD7"/>
    <w:rsid w:val="00656549"/>
    <w:rsid w:val="00656577"/>
    <w:rsid w:val="00656A51"/>
    <w:rsid w:val="00656BC4"/>
    <w:rsid w:val="00656D7F"/>
    <w:rsid w:val="00656E03"/>
    <w:rsid w:val="00656FA0"/>
    <w:rsid w:val="00656FD7"/>
    <w:rsid w:val="00657106"/>
    <w:rsid w:val="0065718E"/>
    <w:rsid w:val="0065768F"/>
    <w:rsid w:val="00657844"/>
    <w:rsid w:val="00657B65"/>
    <w:rsid w:val="00657D3A"/>
    <w:rsid w:val="00657F08"/>
    <w:rsid w:val="00660311"/>
    <w:rsid w:val="006604EE"/>
    <w:rsid w:val="00660B99"/>
    <w:rsid w:val="00660D3B"/>
    <w:rsid w:val="006610C4"/>
    <w:rsid w:val="0066168D"/>
    <w:rsid w:val="006616A5"/>
    <w:rsid w:val="00661781"/>
    <w:rsid w:val="00661A00"/>
    <w:rsid w:val="00661B97"/>
    <w:rsid w:val="00661BBB"/>
    <w:rsid w:val="00661C1E"/>
    <w:rsid w:val="00661C40"/>
    <w:rsid w:val="00661DAF"/>
    <w:rsid w:val="00661F84"/>
    <w:rsid w:val="00662073"/>
    <w:rsid w:val="006620F0"/>
    <w:rsid w:val="006621A7"/>
    <w:rsid w:val="006621EF"/>
    <w:rsid w:val="0066228A"/>
    <w:rsid w:val="006622DD"/>
    <w:rsid w:val="00662346"/>
    <w:rsid w:val="006623A4"/>
    <w:rsid w:val="00662408"/>
    <w:rsid w:val="0066266C"/>
    <w:rsid w:val="0066272D"/>
    <w:rsid w:val="006628EB"/>
    <w:rsid w:val="00662B24"/>
    <w:rsid w:val="00662F5E"/>
    <w:rsid w:val="0066307F"/>
    <w:rsid w:val="00663A78"/>
    <w:rsid w:val="00663BEA"/>
    <w:rsid w:val="00663C34"/>
    <w:rsid w:val="00663F10"/>
    <w:rsid w:val="00663FB4"/>
    <w:rsid w:val="006641BA"/>
    <w:rsid w:val="0066473F"/>
    <w:rsid w:val="00664AB3"/>
    <w:rsid w:val="00664D77"/>
    <w:rsid w:val="00664D80"/>
    <w:rsid w:val="00664F08"/>
    <w:rsid w:val="00664F29"/>
    <w:rsid w:val="00664FB2"/>
    <w:rsid w:val="006650A6"/>
    <w:rsid w:val="006650BA"/>
    <w:rsid w:val="006656D5"/>
    <w:rsid w:val="0066579E"/>
    <w:rsid w:val="006660EC"/>
    <w:rsid w:val="00666135"/>
    <w:rsid w:val="006661FC"/>
    <w:rsid w:val="006665BD"/>
    <w:rsid w:val="00666934"/>
    <w:rsid w:val="00666A13"/>
    <w:rsid w:val="00666A8A"/>
    <w:rsid w:val="006671D4"/>
    <w:rsid w:val="00667239"/>
    <w:rsid w:val="006673A8"/>
    <w:rsid w:val="006673C7"/>
    <w:rsid w:val="00667451"/>
    <w:rsid w:val="0066777A"/>
    <w:rsid w:val="006679AF"/>
    <w:rsid w:val="00667AE4"/>
    <w:rsid w:val="00667B66"/>
    <w:rsid w:val="00667C63"/>
    <w:rsid w:val="00667D35"/>
    <w:rsid w:val="00667E79"/>
    <w:rsid w:val="006700D0"/>
    <w:rsid w:val="006704BE"/>
    <w:rsid w:val="006705E0"/>
    <w:rsid w:val="0067084E"/>
    <w:rsid w:val="006709F8"/>
    <w:rsid w:val="00670B8C"/>
    <w:rsid w:val="00670C09"/>
    <w:rsid w:val="00670D58"/>
    <w:rsid w:val="00670ED7"/>
    <w:rsid w:val="0067127C"/>
    <w:rsid w:val="00671625"/>
    <w:rsid w:val="0067168B"/>
    <w:rsid w:val="00671E4A"/>
    <w:rsid w:val="00671EA7"/>
    <w:rsid w:val="006720A1"/>
    <w:rsid w:val="00672164"/>
    <w:rsid w:val="006723D1"/>
    <w:rsid w:val="0067259A"/>
    <w:rsid w:val="0067264F"/>
    <w:rsid w:val="00672753"/>
    <w:rsid w:val="00672AED"/>
    <w:rsid w:val="00672F28"/>
    <w:rsid w:val="00672F37"/>
    <w:rsid w:val="00672F45"/>
    <w:rsid w:val="00672F5D"/>
    <w:rsid w:val="006730E2"/>
    <w:rsid w:val="00673411"/>
    <w:rsid w:val="006734EF"/>
    <w:rsid w:val="006735E8"/>
    <w:rsid w:val="00673BF5"/>
    <w:rsid w:val="00673C48"/>
    <w:rsid w:val="00673C88"/>
    <w:rsid w:val="00673F2E"/>
    <w:rsid w:val="00673FEE"/>
    <w:rsid w:val="00674060"/>
    <w:rsid w:val="006743F3"/>
    <w:rsid w:val="006745DB"/>
    <w:rsid w:val="006746EE"/>
    <w:rsid w:val="00674A45"/>
    <w:rsid w:val="00674BBA"/>
    <w:rsid w:val="00674E8B"/>
    <w:rsid w:val="00675032"/>
    <w:rsid w:val="00675301"/>
    <w:rsid w:val="00675334"/>
    <w:rsid w:val="00675365"/>
    <w:rsid w:val="006754E6"/>
    <w:rsid w:val="006755B8"/>
    <w:rsid w:val="00675609"/>
    <w:rsid w:val="0067595E"/>
    <w:rsid w:val="006759A0"/>
    <w:rsid w:val="006759F8"/>
    <w:rsid w:val="00675A17"/>
    <w:rsid w:val="00675A75"/>
    <w:rsid w:val="00675B31"/>
    <w:rsid w:val="00675D21"/>
    <w:rsid w:val="00675D38"/>
    <w:rsid w:val="00675DB0"/>
    <w:rsid w:val="00675E40"/>
    <w:rsid w:val="00675FD2"/>
    <w:rsid w:val="00676134"/>
    <w:rsid w:val="00676703"/>
    <w:rsid w:val="0067688F"/>
    <w:rsid w:val="00676E09"/>
    <w:rsid w:val="0067720E"/>
    <w:rsid w:val="006772A7"/>
    <w:rsid w:val="00677355"/>
    <w:rsid w:val="00677440"/>
    <w:rsid w:val="0067750C"/>
    <w:rsid w:val="00677524"/>
    <w:rsid w:val="00677591"/>
    <w:rsid w:val="00677658"/>
    <w:rsid w:val="00677698"/>
    <w:rsid w:val="00677945"/>
    <w:rsid w:val="00677982"/>
    <w:rsid w:val="00677A02"/>
    <w:rsid w:val="00677A3A"/>
    <w:rsid w:val="00677A9E"/>
    <w:rsid w:val="00677D3D"/>
    <w:rsid w:val="00677E3B"/>
    <w:rsid w:val="00677F53"/>
    <w:rsid w:val="006800A1"/>
    <w:rsid w:val="006800F3"/>
    <w:rsid w:val="00680118"/>
    <w:rsid w:val="00680299"/>
    <w:rsid w:val="00680324"/>
    <w:rsid w:val="006803BC"/>
    <w:rsid w:val="00680614"/>
    <w:rsid w:val="006807F7"/>
    <w:rsid w:val="00680AF3"/>
    <w:rsid w:val="00680D6C"/>
    <w:rsid w:val="00680F55"/>
    <w:rsid w:val="00680FD6"/>
    <w:rsid w:val="00681261"/>
    <w:rsid w:val="0068128D"/>
    <w:rsid w:val="00681566"/>
    <w:rsid w:val="006817BF"/>
    <w:rsid w:val="00681811"/>
    <w:rsid w:val="00681A09"/>
    <w:rsid w:val="00681A54"/>
    <w:rsid w:val="00681B45"/>
    <w:rsid w:val="00681FB4"/>
    <w:rsid w:val="006820DB"/>
    <w:rsid w:val="006821FF"/>
    <w:rsid w:val="006824B5"/>
    <w:rsid w:val="006825E2"/>
    <w:rsid w:val="00682975"/>
    <w:rsid w:val="00682A52"/>
    <w:rsid w:val="00682D76"/>
    <w:rsid w:val="00683068"/>
    <w:rsid w:val="0068332B"/>
    <w:rsid w:val="00683402"/>
    <w:rsid w:val="006834E5"/>
    <w:rsid w:val="0068365F"/>
    <w:rsid w:val="00683C1B"/>
    <w:rsid w:val="00683CC5"/>
    <w:rsid w:val="00683EF6"/>
    <w:rsid w:val="00683F60"/>
    <w:rsid w:val="00683FF0"/>
    <w:rsid w:val="0068405C"/>
    <w:rsid w:val="00684135"/>
    <w:rsid w:val="0068417C"/>
    <w:rsid w:val="006841D1"/>
    <w:rsid w:val="00684228"/>
    <w:rsid w:val="006849E1"/>
    <w:rsid w:val="00684BD1"/>
    <w:rsid w:val="006851F7"/>
    <w:rsid w:val="0068530F"/>
    <w:rsid w:val="006853D3"/>
    <w:rsid w:val="006854BE"/>
    <w:rsid w:val="00685759"/>
    <w:rsid w:val="00685773"/>
    <w:rsid w:val="00685A21"/>
    <w:rsid w:val="00685E21"/>
    <w:rsid w:val="00685EF6"/>
    <w:rsid w:val="00685FDE"/>
    <w:rsid w:val="00686102"/>
    <w:rsid w:val="00686245"/>
    <w:rsid w:val="0068631A"/>
    <w:rsid w:val="0068655D"/>
    <w:rsid w:val="006866D9"/>
    <w:rsid w:val="0068676D"/>
    <w:rsid w:val="00686AE8"/>
    <w:rsid w:val="00686BF9"/>
    <w:rsid w:val="00686D05"/>
    <w:rsid w:val="00686F05"/>
    <w:rsid w:val="0068728E"/>
    <w:rsid w:val="006872B0"/>
    <w:rsid w:val="0068750A"/>
    <w:rsid w:val="006877F7"/>
    <w:rsid w:val="00687C05"/>
    <w:rsid w:val="00687C07"/>
    <w:rsid w:val="00687F0D"/>
    <w:rsid w:val="00687F8D"/>
    <w:rsid w:val="00687FFC"/>
    <w:rsid w:val="0069012A"/>
    <w:rsid w:val="0069025C"/>
    <w:rsid w:val="00690263"/>
    <w:rsid w:val="00690764"/>
    <w:rsid w:val="00690935"/>
    <w:rsid w:val="00690939"/>
    <w:rsid w:val="00690ACB"/>
    <w:rsid w:val="00690CC7"/>
    <w:rsid w:val="00690D29"/>
    <w:rsid w:val="00690E38"/>
    <w:rsid w:val="00690EAF"/>
    <w:rsid w:val="00690FBE"/>
    <w:rsid w:val="006912CB"/>
    <w:rsid w:val="0069144E"/>
    <w:rsid w:val="00691555"/>
    <w:rsid w:val="006915B8"/>
    <w:rsid w:val="006916F5"/>
    <w:rsid w:val="006917A0"/>
    <w:rsid w:val="00691AE4"/>
    <w:rsid w:val="00691BDB"/>
    <w:rsid w:val="00691D9C"/>
    <w:rsid w:val="00691E8D"/>
    <w:rsid w:val="00692091"/>
    <w:rsid w:val="006921D5"/>
    <w:rsid w:val="00692325"/>
    <w:rsid w:val="00692404"/>
    <w:rsid w:val="00692417"/>
    <w:rsid w:val="006924F0"/>
    <w:rsid w:val="00692AD9"/>
    <w:rsid w:val="00693086"/>
    <w:rsid w:val="006932C3"/>
    <w:rsid w:val="00693319"/>
    <w:rsid w:val="00693572"/>
    <w:rsid w:val="00693590"/>
    <w:rsid w:val="006936D7"/>
    <w:rsid w:val="006936FF"/>
    <w:rsid w:val="00693817"/>
    <w:rsid w:val="0069396D"/>
    <w:rsid w:val="00693A67"/>
    <w:rsid w:val="00693B44"/>
    <w:rsid w:val="00693BA7"/>
    <w:rsid w:val="00693D19"/>
    <w:rsid w:val="00693E0D"/>
    <w:rsid w:val="00693E3F"/>
    <w:rsid w:val="00693E66"/>
    <w:rsid w:val="00693FCC"/>
    <w:rsid w:val="00694165"/>
    <w:rsid w:val="006946B3"/>
    <w:rsid w:val="006946DA"/>
    <w:rsid w:val="0069479E"/>
    <w:rsid w:val="006947DE"/>
    <w:rsid w:val="006949B7"/>
    <w:rsid w:val="00694BCD"/>
    <w:rsid w:val="00694E0D"/>
    <w:rsid w:val="00694EE8"/>
    <w:rsid w:val="00694F38"/>
    <w:rsid w:val="00694FD7"/>
    <w:rsid w:val="006951E1"/>
    <w:rsid w:val="00695246"/>
    <w:rsid w:val="0069525F"/>
    <w:rsid w:val="006953FC"/>
    <w:rsid w:val="00695471"/>
    <w:rsid w:val="006956FC"/>
    <w:rsid w:val="0069576B"/>
    <w:rsid w:val="00695812"/>
    <w:rsid w:val="00695CF1"/>
    <w:rsid w:val="00695D48"/>
    <w:rsid w:val="00695FCF"/>
    <w:rsid w:val="0069636D"/>
    <w:rsid w:val="00696650"/>
    <w:rsid w:val="00696741"/>
    <w:rsid w:val="00696745"/>
    <w:rsid w:val="006969ED"/>
    <w:rsid w:val="00696A15"/>
    <w:rsid w:val="00696B3A"/>
    <w:rsid w:val="00696B91"/>
    <w:rsid w:val="00696C47"/>
    <w:rsid w:val="00696E1A"/>
    <w:rsid w:val="00696FBC"/>
    <w:rsid w:val="00697331"/>
    <w:rsid w:val="00697550"/>
    <w:rsid w:val="0069764C"/>
    <w:rsid w:val="00697669"/>
    <w:rsid w:val="00697A09"/>
    <w:rsid w:val="00697E75"/>
    <w:rsid w:val="00697EEF"/>
    <w:rsid w:val="006A00A0"/>
    <w:rsid w:val="006A0567"/>
    <w:rsid w:val="006A0712"/>
    <w:rsid w:val="006A0B5F"/>
    <w:rsid w:val="006A1474"/>
    <w:rsid w:val="006A18C5"/>
    <w:rsid w:val="006A19DE"/>
    <w:rsid w:val="006A1AA8"/>
    <w:rsid w:val="006A1C6A"/>
    <w:rsid w:val="006A1C80"/>
    <w:rsid w:val="006A1DC8"/>
    <w:rsid w:val="006A244F"/>
    <w:rsid w:val="006A2518"/>
    <w:rsid w:val="006A252C"/>
    <w:rsid w:val="006A2630"/>
    <w:rsid w:val="006A2637"/>
    <w:rsid w:val="006A2932"/>
    <w:rsid w:val="006A2A5A"/>
    <w:rsid w:val="006A2B15"/>
    <w:rsid w:val="006A2BE7"/>
    <w:rsid w:val="006A2E44"/>
    <w:rsid w:val="006A2F6A"/>
    <w:rsid w:val="006A2FBD"/>
    <w:rsid w:val="006A3054"/>
    <w:rsid w:val="006A33EB"/>
    <w:rsid w:val="006A34E4"/>
    <w:rsid w:val="006A37FF"/>
    <w:rsid w:val="006A3925"/>
    <w:rsid w:val="006A392A"/>
    <w:rsid w:val="006A3B48"/>
    <w:rsid w:val="006A3ED0"/>
    <w:rsid w:val="006A3FB5"/>
    <w:rsid w:val="006A4065"/>
    <w:rsid w:val="006A4334"/>
    <w:rsid w:val="006A4656"/>
    <w:rsid w:val="006A4659"/>
    <w:rsid w:val="006A4999"/>
    <w:rsid w:val="006A4A3F"/>
    <w:rsid w:val="006A4AF9"/>
    <w:rsid w:val="006A4BE8"/>
    <w:rsid w:val="006A4D7D"/>
    <w:rsid w:val="006A54B3"/>
    <w:rsid w:val="006A5799"/>
    <w:rsid w:val="006A5829"/>
    <w:rsid w:val="006A5C13"/>
    <w:rsid w:val="006A5D32"/>
    <w:rsid w:val="006A5DF8"/>
    <w:rsid w:val="006A5E8E"/>
    <w:rsid w:val="006A6052"/>
    <w:rsid w:val="006A61A4"/>
    <w:rsid w:val="006A63EF"/>
    <w:rsid w:val="006A648C"/>
    <w:rsid w:val="006A65F1"/>
    <w:rsid w:val="006A6659"/>
    <w:rsid w:val="006A6877"/>
    <w:rsid w:val="006A6A42"/>
    <w:rsid w:val="006A70C0"/>
    <w:rsid w:val="006A734F"/>
    <w:rsid w:val="006A73C6"/>
    <w:rsid w:val="006A73D2"/>
    <w:rsid w:val="006A75B7"/>
    <w:rsid w:val="006A78CB"/>
    <w:rsid w:val="006A7A30"/>
    <w:rsid w:val="006A7AD2"/>
    <w:rsid w:val="006A7AD5"/>
    <w:rsid w:val="006A7B6B"/>
    <w:rsid w:val="006B00D4"/>
    <w:rsid w:val="006B01DA"/>
    <w:rsid w:val="006B0236"/>
    <w:rsid w:val="006B024F"/>
    <w:rsid w:val="006B02CC"/>
    <w:rsid w:val="006B02EC"/>
    <w:rsid w:val="006B0587"/>
    <w:rsid w:val="006B065B"/>
    <w:rsid w:val="006B075A"/>
    <w:rsid w:val="006B0A67"/>
    <w:rsid w:val="006B0ADE"/>
    <w:rsid w:val="006B0AFA"/>
    <w:rsid w:val="006B0C41"/>
    <w:rsid w:val="006B1776"/>
    <w:rsid w:val="006B1A67"/>
    <w:rsid w:val="006B1E37"/>
    <w:rsid w:val="006B1ECD"/>
    <w:rsid w:val="006B2002"/>
    <w:rsid w:val="006B2144"/>
    <w:rsid w:val="006B228D"/>
    <w:rsid w:val="006B2364"/>
    <w:rsid w:val="006B2403"/>
    <w:rsid w:val="006B2572"/>
    <w:rsid w:val="006B26AD"/>
    <w:rsid w:val="006B2782"/>
    <w:rsid w:val="006B2849"/>
    <w:rsid w:val="006B28F5"/>
    <w:rsid w:val="006B2A38"/>
    <w:rsid w:val="006B3298"/>
    <w:rsid w:val="006B33B5"/>
    <w:rsid w:val="006B34B0"/>
    <w:rsid w:val="006B35B9"/>
    <w:rsid w:val="006B35E6"/>
    <w:rsid w:val="006B3728"/>
    <w:rsid w:val="006B37E2"/>
    <w:rsid w:val="006B3931"/>
    <w:rsid w:val="006B3968"/>
    <w:rsid w:val="006B3F4D"/>
    <w:rsid w:val="006B4369"/>
    <w:rsid w:val="006B4383"/>
    <w:rsid w:val="006B471D"/>
    <w:rsid w:val="006B4755"/>
    <w:rsid w:val="006B4845"/>
    <w:rsid w:val="006B4B8F"/>
    <w:rsid w:val="006B4D55"/>
    <w:rsid w:val="006B4DE4"/>
    <w:rsid w:val="006B4E54"/>
    <w:rsid w:val="006B4F7B"/>
    <w:rsid w:val="006B50B4"/>
    <w:rsid w:val="006B5269"/>
    <w:rsid w:val="006B52C5"/>
    <w:rsid w:val="006B53C6"/>
    <w:rsid w:val="006B5461"/>
    <w:rsid w:val="006B59B2"/>
    <w:rsid w:val="006B5E0B"/>
    <w:rsid w:val="006B5F9E"/>
    <w:rsid w:val="006B63B1"/>
    <w:rsid w:val="006B640B"/>
    <w:rsid w:val="006B6565"/>
    <w:rsid w:val="006B6903"/>
    <w:rsid w:val="006B6C90"/>
    <w:rsid w:val="006B6E3C"/>
    <w:rsid w:val="006B70CF"/>
    <w:rsid w:val="006B70F3"/>
    <w:rsid w:val="006B723C"/>
    <w:rsid w:val="006B744D"/>
    <w:rsid w:val="006B7553"/>
    <w:rsid w:val="006B7723"/>
    <w:rsid w:val="006B7BB6"/>
    <w:rsid w:val="006C0077"/>
    <w:rsid w:val="006C073E"/>
    <w:rsid w:val="006C0A84"/>
    <w:rsid w:val="006C0DE1"/>
    <w:rsid w:val="006C0DFD"/>
    <w:rsid w:val="006C1029"/>
    <w:rsid w:val="006C103C"/>
    <w:rsid w:val="006C1106"/>
    <w:rsid w:val="006C12DC"/>
    <w:rsid w:val="006C13E4"/>
    <w:rsid w:val="006C1415"/>
    <w:rsid w:val="006C14A0"/>
    <w:rsid w:val="006C1781"/>
    <w:rsid w:val="006C1A03"/>
    <w:rsid w:val="006C1E92"/>
    <w:rsid w:val="006C1ED6"/>
    <w:rsid w:val="006C1EF1"/>
    <w:rsid w:val="006C1F0C"/>
    <w:rsid w:val="006C2007"/>
    <w:rsid w:val="006C289B"/>
    <w:rsid w:val="006C296F"/>
    <w:rsid w:val="006C2C35"/>
    <w:rsid w:val="006C2E4F"/>
    <w:rsid w:val="006C2FB8"/>
    <w:rsid w:val="006C31F8"/>
    <w:rsid w:val="006C33EA"/>
    <w:rsid w:val="006C3765"/>
    <w:rsid w:val="006C39BC"/>
    <w:rsid w:val="006C3B18"/>
    <w:rsid w:val="006C3B22"/>
    <w:rsid w:val="006C3F42"/>
    <w:rsid w:val="006C4092"/>
    <w:rsid w:val="006C40A8"/>
    <w:rsid w:val="006C43B1"/>
    <w:rsid w:val="006C44EE"/>
    <w:rsid w:val="006C49F4"/>
    <w:rsid w:val="006C4ADE"/>
    <w:rsid w:val="006C4BB5"/>
    <w:rsid w:val="006C4C35"/>
    <w:rsid w:val="006C4FEF"/>
    <w:rsid w:val="006C5278"/>
    <w:rsid w:val="006C5323"/>
    <w:rsid w:val="006C5409"/>
    <w:rsid w:val="006C5456"/>
    <w:rsid w:val="006C5645"/>
    <w:rsid w:val="006C596E"/>
    <w:rsid w:val="006C5A4D"/>
    <w:rsid w:val="006C5C9D"/>
    <w:rsid w:val="006C5F69"/>
    <w:rsid w:val="006C5FE5"/>
    <w:rsid w:val="006C66E3"/>
    <w:rsid w:val="006C6741"/>
    <w:rsid w:val="006C6842"/>
    <w:rsid w:val="006C6BAC"/>
    <w:rsid w:val="006C6C6A"/>
    <w:rsid w:val="006C6EB6"/>
    <w:rsid w:val="006C6F8C"/>
    <w:rsid w:val="006C7045"/>
    <w:rsid w:val="006C7048"/>
    <w:rsid w:val="006C7153"/>
    <w:rsid w:val="006C7169"/>
    <w:rsid w:val="006C7193"/>
    <w:rsid w:val="006C7519"/>
    <w:rsid w:val="006C7743"/>
    <w:rsid w:val="006C7992"/>
    <w:rsid w:val="006C7A64"/>
    <w:rsid w:val="006C7AB7"/>
    <w:rsid w:val="006C7D25"/>
    <w:rsid w:val="006D0173"/>
    <w:rsid w:val="006D04BF"/>
    <w:rsid w:val="006D056C"/>
    <w:rsid w:val="006D06D6"/>
    <w:rsid w:val="006D071C"/>
    <w:rsid w:val="006D0C53"/>
    <w:rsid w:val="006D0DE3"/>
    <w:rsid w:val="006D0F08"/>
    <w:rsid w:val="006D0F22"/>
    <w:rsid w:val="006D0FCB"/>
    <w:rsid w:val="006D1180"/>
    <w:rsid w:val="006D1461"/>
    <w:rsid w:val="006D14DF"/>
    <w:rsid w:val="006D1531"/>
    <w:rsid w:val="006D1589"/>
    <w:rsid w:val="006D19E1"/>
    <w:rsid w:val="006D1A77"/>
    <w:rsid w:val="006D1ACB"/>
    <w:rsid w:val="006D1C0C"/>
    <w:rsid w:val="006D1D18"/>
    <w:rsid w:val="006D1FCF"/>
    <w:rsid w:val="006D211A"/>
    <w:rsid w:val="006D2369"/>
    <w:rsid w:val="006D2A2E"/>
    <w:rsid w:val="006D2C9E"/>
    <w:rsid w:val="006D2F0A"/>
    <w:rsid w:val="006D3042"/>
    <w:rsid w:val="006D3174"/>
    <w:rsid w:val="006D3381"/>
    <w:rsid w:val="006D3652"/>
    <w:rsid w:val="006D365A"/>
    <w:rsid w:val="006D37CE"/>
    <w:rsid w:val="006D3D7D"/>
    <w:rsid w:val="006D3D9A"/>
    <w:rsid w:val="006D3F4C"/>
    <w:rsid w:val="006D40CB"/>
    <w:rsid w:val="006D41FB"/>
    <w:rsid w:val="006D499C"/>
    <w:rsid w:val="006D51D9"/>
    <w:rsid w:val="006D5406"/>
    <w:rsid w:val="006D542A"/>
    <w:rsid w:val="006D5701"/>
    <w:rsid w:val="006D5A10"/>
    <w:rsid w:val="006D5AF9"/>
    <w:rsid w:val="006D5CBB"/>
    <w:rsid w:val="006D5DA7"/>
    <w:rsid w:val="006D5E70"/>
    <w:rsid w:val="006D5F85"/>
    <w:rsid w:val="006D5FDF"/>
    <w:rsid w:val="006D5FEB"/>
    <w:rsid w:val="006D5FFB"/>
    <w:rsid w:val="006D60C1"/>
    <w:rsid w:val="006D6215"/>
    <w:rsid w:val="006D62EF"/>
    <w:rsid w:val="006D630C"/>
    <w:rsid w:val="006D64DC"/>
    <w:rsid w:val="006D6685"/>
    <w:rsid w:val="006D6691"/>
    <w:rsid w:val="006D6832"/>
    <w:rsid w:val="006D6994"/>
    <w:rsid w:val="006D6F15"/>
    <w:rsid w:val="006D7079"/>
    <w:rsid w:val="006D7197"/>
    <w:rsid w:val="006D72B2"/>
    <w:rsid w:val="006D735A"/>
    <w:rsid w:val="006D7629"/>
    <w:rsid w:val="006D7894"/>
    <w:rsid w:val="006D792F"/>
    <w:rsid w:val="006D793C"/>
    <w:rsid w:val="006D7B00"/>
    <w:rsid w:val="006E03F6"/>
    <w:rsid w:val="006E0447"/>
    <w:rsid w:val="006E089E"/>
    <w:rsid w:val="006E0AB4"/>
    <w:rsid w:val="006E0D9B"/>
    <w:rsid w:val="006E0DD7"/>
    <w:rsid w:val="006E0E72"/>
    <w:rsid w:val="006E0F22"/>
    <w:rsid w:val="006E0F24"/>
    <w:rsid w:val="006E111A"/>
    <w:rsid w:val="006E11EB"/>
    <w:rsid w:val="006E161F"/>
    <w:rsid w:val="006E16B8"/>
    <w:rsid w:val="006E17AA"/>
    <w:rsid w:val="006E1954"/>
    <w:rsid w:val="006E1DF5"/>
    <w:rsid w:val="006E1E52"/>
    <w:rsid w:val="006E1ED4"/>
    <w:rsid w:val="006E1ED9"/>
    <w:rsid w:val="006E20B3"/>
    <w:rsid w:val="006E20C5"/>
    <w:rsid w:val="006E2542"/>
    <w:rsid w:val="006E28FB"/>
    <w:rsid w:val="006E2A7E"/>
    <w:rsid w:val="006E2AF1"/>
    <w:rsid w:val="006E2C0E"/>
    <w:rsid w:val="006E2CAB"/>
    <w:rsid w:val="006E2DBD"/>
    <w:rsid w:val="006E30FC"/>
    <w:rsid w:val="006E3173"/>
    <w:rsid w:val="006E3224"/>
    <w:rsid w:val="006E3240"/>
    <w:rsid w:val="006E32D3"/>
    <w:rsid w:val="006E3322"/>
    <w:rsid w:val="006E34A6"/>
    <w:rsid w:val="006E34FC"/>
    <w:rsid w:val="006E3606"/>
    <w:rsid w:val="006E3693"/>
    <w:rsid w:val="006E3A3E"/>
    <w:rsid w:val="006E3E32"/>
    <w:rsid w:val="006E3F0A"/>
    <w:rsid w:val="006E3F7E"/>
    <w:rsid w:val="006E409C"/>
    <w:rsid w:val="006E40B4"/>
    <w:rsid w:val="006E4221"/>
    <w:rsid w:val="006E44B7"/>
    <w:rsid w:val="006E44E1"/>
    <w:rsid w:val="006E46E5"/>
    <w:rsid w:val="006E47FE"/>
    <w:rsid w:val="006E4817"/>
    <w:rsid w:val="006E481F"/>
    <w:rsid w:val="006E48F5"/>
    <w:rsid w:val="006E4B3D"/>
    <w:rsid w:val="006E4BE4"/>
    <w:rsid w:val="006E4CEC"/>
    <w:rsid w:val="006E4E64"/>
    <w:rsid w:val="006E4E8A"/>
    <w:rsid w:val="006E51ED"/>
    <w:rsid w:val="006E5324"/>
    <w:rsid w:val="006E53B6"/>
    <w:rsid w:val="006E5503"/>
    <w:rsid w:val="006E5532"/>
    <w:rsid w:val="006E5698"/>
    <w:rsid w:val="006E5A2D"/>
    <w:rsid w:val="006E5AFB"/>
    <w:rsid w:val="006E5C88"/>
    <w:rsid w:val="006E626E"/>
    <w:rsid w:val="006E62C8"/>
    <w:rsid w:val="006E6445"/>
    <w:rsid w:val="006E651A"/>
    <w:rsid w:val="006E6813"/>
    <w:rsid w:val="006E6B41"/>
    <w:rsid w:val="006E6BAD"/>
    <w:rsid w:val="006E6C43"/>
    <w:rsid w:val="006E6C8B"/>
    <w:rsid w:val="006E6EF0"/>
    <w:rsid w:val="006E6F2D"/>
    <w:rsid w:val="006E6F72"/>
    <w:rsid w:val="006E7202"/>
    <w:rsid w:val="006E7293"/>
    <w:rsid w:val="006E72A3"/>
    <w:rsid w:val="006E761D"/>
    <w:rsid w:val="006E7860"/>
    <w:rsid w:val="006E7A05"/>
    <w:rsid w:val="006E7B88"/>
    <w:rsid w:val="006E7D53"/>
    <w:rsid w:val="006F004E"/>
    <w:rsid w:val="006F0473"/>
    <w:rsid w:val="006F0670"/>
    <w:rsid w:val="006F0D72"/>
    <w:rsid w:val="006F0E94"/>
    <w:rsid w:val="006F1073"/>
    <w:rsid w:val="006F1161"/>
    <w:rsid w:val="006F1192"/>
    <w:rsid w:val="006F14AB"/>
    <w:rsid w:val="006F151C"/>
    <w:rsid w:val="006F153D"/>
    <w:rsid w:val="006F153E"/>
    <w:rsid w:val="006F15E5"/>
    <w:rsid w:val="006F179B"/>
    <w:rsid w:val="006F17A5"/>
    <w:rsid w:val="006F19D9"/>
    <w:rsid w:val="006F1BFB"/>
    <w:rsid w:val="006F1D55"/>
    <w:rsid w:val="006F1D57"/>
    <w:rsid w:val="006F1DE1"/>
    <w:rsid w:val="006F1F0B"/>
    <w:rsid w:val="006F1F18"/>
    <w:rsid w:val="006F1F20"/>
    <w:rsid w:val="006F21FF"/>
    <w:rsid w:val="006F2520"/>
    <w:rsid w:val="006F2AAE"/>
    <w:rsid w:val="006F2B6F"/>
    <w:rsid w:val="006F2C5D"/>
    <w:rsid w:val="006F2CD5"/>
    <w:rsid w:val="006F2DF7"/>
    <w:rsid w:val="006F31F2"/>
    <w:rsid w:val="006F35A7"/>
    <w:rsid w:val="006F36B3"/>
    <w:rsid w:val="006F36F4"/>
    <w:rsid w:val="006F37FC"/>
    <w:rsid w:val="006F3893"/>
    <w:rsid w:val="006F3BF7"/>
    <w:rsid w:val="006F3C3A"/>
    <w:rsid w:val="006F401A"/>
    <w:rsid w:val="006F40F9"/>
    <w:rsid w:val="006F4433"/>
    <w:rsid w:val="006F4869"/>
    <w:rsid w:val="006F4984"/>
    <w:rsid w:val="006F4C18"/>
    <w:rsid w:val="006F4C2B"/>
    <w:rsid w:val="006F4C5E"/>
    <w:rsid w:val="006F4CF8"/>
    <w:rsid w:val="006F4D37"/>
    <w:rsid w:val="006F555B"/>
    <w:rsid w:val="006F56EA"/>
    <w:rsid w:val="006F578C"/>
    <w:rsid w:val="006F581F"/>
    <w:rsid w:val="006F5901"/>
    <w:rsid w:val="006F5959"/>
    <w:rsid w:val="006F5A9B"/>
    <w:rsid w:val="006F5AE7"/>
    <w:rsid w:val="006F5F5A"/>
    <w:rsid w:val="006F5FEE"/>
    <w:rsid w:val="006F6032"/>
    <w:rsid w:val="006F62FC"/>
    <w:rsid w:val="006F676B"/>
    <w:rsid w:val="006F6A8E"/>
    <w:rsid w:val="006F6AE8"/>
    <w:rsid w:val="006F6D8A"/>
    <w:rsid w:val="006F6EA9"/>
    <w:rsid w:val="006F70F4"/>
    <w:rsid w:val="006F715C"/>
    <w:rsid w:val="006F720D"/>
    <w:rsid w:val="006F76A8"/>
    <w:rsid w:val="006F773D"/>
    <w:rsid w:val="006F7B09"/>
    <w:rsid w:val="006F7B94"/>
    <w:rsid w:val="006F7DD3"/>
    <w:rsid w:val="006F7F53"/>
    <w:rsid w:val="006F7FDD"/>
    <w:rsid w:val="00700052"/>
    <w:rsid w:val="00700094"/>
    <w:rsid w:val="00700203"/>
    <w:rsid w:val="007002A2"/>
    <w:rsid w:val="0070050A"/>
    <w:rsid w:val="00700778"/>
    <w:rsid w:val="0070083D"/>
    <w:rsid w:val="00700849"/>
    <w:rsid w:val="00700BBC"/>
    <w:rsid w:val="00700C95"/>
    <w:rsid w:val="00700E96"/>
    <w:rsid w:val="00701287"/>
    <w:rsid w:val="00701839"/>
    <w:rsid w:val="007018E8"/>
    <w:rsid w:val="00701BEF"/>
    <w:rsid w:val="00701C13"/>
    <w:rsid w:val="00701C1A"/>
    <w:rsid w:val="00701CB0"/>
    <w:rsid w:val="00701DF6"/>
    <w:rsid w:val="00701E23"/>
    <w:rsid w:val="00701E71"/>
    <w:rsid w:val="00702445"/>
    <w:rsid w:val="007024EC"/>
    <w:rsid w:val="007025FD"/>
    <w:rsid w:val="00702636"/>
    <w:rsid w:val="00702680"/>
    <w:rsid w:val="0070270B"/>
    <w:rsid w:val="007028BA"/>
    <w:rsid w:val="00702923"/>
    <w:rsid w:val="007029A7"/>
    <w:rsid w:val="0070332C"/>
    <w:rsid w:val="00703473"/>
    <w:rsid w:val="007034D6"/>
    <w:rsid w:val="00703C78"/>
    <w:rsid w:val="00703D72"/>
    <w:rsid w:val="00703E3A"/>
    <w:rsid w:val="007040F1"/>
    <w:rsid w:val="0070448F"/>
    <w:rsid w:val="007044AE"/>
    <w:rsid w:val="00704835"/>
    <w:rsid w:val="00704B16"/>
    <w:rsid w:val="00704B17"/>
    <w:rsid w:val="00704B52"/>
    <w:rsid w:val="00704E27"/>
    <w:rsid w:val="00704F2D"/>
    <w:rsid w:val="00704FDE"/>
    <w:rsid w:val="0070507C"/>
    <w:rsid w:val="007051F9"/>
    <w:rsid w:val="0070520D"/>
    <w:rsid w:val="00705489"/>
    <w:rsid w:val="007054A9"/>
    <w:rsid w:val="00705AC9"/>
    <w:rsid w:val="00705DA3"/>
    <w:rsid w:val="00705E18"/>
    <w:rsid w:val="00705F77"/>
    <w:rsid w:val="00705F94"/>
    <w:rsid w:val="00706559"/>
    <w:rsid w:val="0070671A"/>
    <w:rsid w:val="00706830"/>
    <w:rsid w:val="00706A77"/>
    <w:rsid w:val="00706CB4"/>
    <w:rsid w:val="00706DDF"/>
    <w:rsid w:val="00706E8F"/>
    <w:rsid w:val="00706F2C"/>
    <w:rsid w:val="0070714E"/>
    <w:rsid w:val="007071BE"/>
    <w:rsid w:val="007072C8"/>
    <w:rsid w:val="00707480"/>
    <w:rsid w:val="007075CC"/>
    <w:rsid w:val="00707607"/>
    <w:rsid w:val="00707878"/>
    <w:rsid w:val="00707AA5"/>
    <w:rsid w:val="00707BED"/>
    <w:rsid w:val="00707C73"/>
    <w:rsid w:val="00707EF7"/>
    <w:rsid w:val="00710382"/>
    <w:rsid w:val="0071053E"/>
    <w:rsid w:val="00710688"/>
    <w:rsid w:val="00710983"/>
    <w:rsid w:val="00710A5C"/>
    <w:rsid w:val="00710C02"/>
    <w:rsid w:val="00710D15"/>
    <w:rsid w:val="00710E2F"/>
    <w:rsid w:val="00710EB6"/>
    <w:rsid w:val="00710FB2"/>
    <w:rsid w:val="007110AB"/>
    <w:rsid w:val="0071192A"/>
    <w:rsid w:val="00711CD3"/>
    <w:rsid w:val="0071202E"/>
    <w:rsid w:val="00712426"/>
    <w:rsid w:val="007127BE"/>
    <w:rsid w:val="00712882"/>
    <w:rsid w:val="00712B99"/>
    <w:rsid w:val="00712EC6"/>
    <w:rsid w:val="00712FD5"/>
    <w:rsid w:val="00713280"/>
    <w:rsid w:val="007133D8"/>
    <w:rsid w:val="007134CD"/>
    <w:rsid w:val="007137B7"/>
    <w:rsid w:val="00713829"/>
    <w:rsid w:val="00713B40"/>
    <w:rsid w:val="00713BEB"/>
    <w:rsid w:val="00713D10"/>
    <w:rsid w:val="00713D2B"/>
    <w:rsid w:val="00714082"/>
    <w:rsid w:val="00714186"/>
    <w:rsid w:val="007141ED"/>
    <w:rsid w:val="0071420A"/>
    <w:rsid w:val="0071432D"/>
    <w:rsid w:val="0071435B"/>
    <w:rsid w:val="00714559"/>
    <w:rsid w:val="00714562"/>
    <w:rsid w:val="007145A8"/>
    <w:rsid w:val="00714655"/>
    <w:rsid w:val="00714684"/>
    <w:rsid w:val="007146A4"/>
    <w:rsid w:val="00714722"/>
    <w:rsid w:val="0071499E"/>
    <w:rsid w:val="00714A6F"/>
    <w:rsid w:val="00714B17"/>
    <w:rsid w:val="00714C8E"/>
    <w:rsid w:val="00714F33"/>
    <w:rsid w:val="007152C3"/>
    <w:rsid w:val="007152EA"/>
    <w:rsid w:val="007155CC"/>
    <w:rsid w:val="00715612"/>
    <w:rsid w:val="00715699"/>
    <w:rsid w:val="007157DD"/>
    <w:rsid w:val="00715D58"/>
    <w:rsid w:val="00715F6C"/>
    <w:rsid w:val="0071605A"/>
    <w:rsid w:val="0071639B"/>
    <w:rsid w:val="00716614"/>
    <w:rsid w:val="00716653"/>
    <w:rsid w:val="007166A5"/>
    <w:rsid w:val="00716DE2"/>
    <w:rsid w:val="00716EBE"/>
    <w:rsid w:val="00716EC0"/>
    <w:rsid w:val="00716ECA"/>
    <w:rsid w:val="00716EFC"/>
    <w:rsid w:val="00716FD4"/>
    <w:rsid w:val="00717026"/>
    <w:rsid w:val="00717064"/>
    <w:rsid w:val="00717312"/>
    <w:rsid w:val="00717532"/>
    <w:rsid w:val="00717721"/>
    <w:rsid w:val="007178EE"/>
    <w:rsid w:val="00717919"/>
    <w:rsid w:val="00717B50"/>
    <w:rsid w:val="00717F20"/>
    <w:rsid w:val="00720054"/>
    <w:rsid w:val="00720141"/>
    <w:rsid w:val="007203A8"/>
    <w:rsid w:val="007204E0"/>
    <w:rsid w:val="007205AF"/>
    <w:rsid w:val="007205B1"/>
    <w:rsid w:val="007206DF"/>
    <w:rsid w:val="007209CB"/>
    <w:rsid w:val="00720B10"/>
    <w:rsid w:val="00720C74"/>
    <w:rsid w:val="00720C81"/>
    <w:rsid w:val="00720CA9"/>
    <w:rsid w:val="00720CFE"/>
    <w:rsid w:val="00720EBE"/>
    <w:rsid w:val="00720ECE"/>
    <w:rsid w:val="00720F12"/>
    <w:rsid w:val="007210B3"/>
    <w:rsid w:val="007210BF"/>
    <w:rsid w:val="007211B1"/>
    <w:rsid w:val="00721257"/>
    <w:rsid w:val="0072127D"/>
    <w:rsid w:val="007212DF"/>
    <w:rsid w:val="00721666"/>
    <w:rsid w:val="00721973"/>
    <w:rsid w:val="00721AD6"/>
    <w:rsid w:val="00721BB1"/>
    <w:rsid w:val="00721C13"/>
    <w:rsid w:val="00721C1A"/>
    <w:rsid w:val="00721C76"/>
    <w:rsid w:val="00721DDB"/>
    <w:rsid w:val="00721E55"/>
    <w:rsid w:val="0072209B"/>
    <w:rsid w:val="007220B3"/>
    <w:rsid w:val="007221E9"/>
    <w:rsid w:val="007224ED"/>
    <w:rsid w:val="0072252D"/>
    <w:rsid w:val="007225BC"/>
    <w:rsid w:val="0072299C"/>
    <w:rsid w:val="00722AAC"/>
    <w:rsid w:val="00723208"/>
    <w:rsid w:val="007232B4"/>
    <w:rsid w:val="007232C6"/>
    <w:rsid w:val="007234FC"/>
    <w:rsid w:val="00723824"/>
    <w:rsid w:val="00723A1C"/>
    <w:rsid w:val="00723B4B"/>
    <w:rsid w:val="00723E92"/>
    <w:rsid w:val="00723E9B"/>
    <w:rsid w:val="00723EB4"/>
    <w:rsid w:val="00723F52"/>
    <w:rsid w:val="007242F9"/>
    <w:rsid w:val="007243ED"/>
    <w:rsid w:val="00724447"/>
    <w:rsid w:val="00724481"/>
    <w:rsid w:val="007245DE"/>
    <w:rsid w:val="007246A4"/>
    <w:rsid w:val="00724854"/>
    <w:rsid w:val="00724A92"/>
    <w:rsid w:val="00724ACB"/>
    <w:rsid w:val="00724F68"/>
    <w:rsid w:val="00724F81"/>
    <w:rsid w:val="007250DC"/>
    <w:rsid w:val="00725270"/>
    <w:rsid w:val="007252C9"/>
    <w:rsid w:val="00725372"/>
    <w:rsid w:val="00725441"/>
    <w:rsid w:val="00725474"/>
    <w:rsid w:val="007254D9"/>
    <w:rsid w:val="00725665"/>
    <w:rsid w:val="00725C2C"/>
    <w:rsid w:val="00725D0A"/>
    <w:rsid w:val="00725F1D"/>
    <w:rsid w:val="0072612F"/>
    <w:rsid w:val="00726235"/>
    <w:rsid w:val="00726617"/>
    <w:rsid w:val="007266DD"/>
    <w:rsid w:val="00726922"/>
    <w:rsid w:val="00726A64"/>
    <w:rsid w:val="00726B6D"/>
    <w:rsid w:val="00726C42"/>
    <w:rsid w:val="00726F16"/>
    <w:rsid w:val="007270B7"/>
    <w:rsid w:val="00727178"/>
    <w:rsid w:val="00727217"/>
    <w:rsid w:val="0072728B"/>
    <w:rsid w:val="00727945"/>
    <w:rsid w:val="00727BAB"/>
    <w:rsid w:val="00727BB7"/>
    <w:rsid w:val="00727BF7"/>
    <w:rsid w:val="00727D77"/>
    <w:rsid w:val="00727DB2"/>
    <w:rsid w:val="007300E8"/>
    <w:rsid w:val="00730219"/>
    <w:rsid w:val="0073021D"/>
    <w:rsid w:val="00730285"/>
    <w:rsid w:val="007302B5"/>
    <w:rsid w:val="00730817"/>
    <w:rsid w:val="00730962"/>
    <w:rsid w:val="0073097F"/>
    <w:rsid w:val="00730A16"/>
    <w:rsid w:val="00730AB0"/>
    <w:rsid w:val="00730E4C"/>
    <w:rsid w:val="00730F56"/>
    <w:rsid w:val="007310C4"/>
    <w:rsid w:val="00731192"/>
    <w:rsid w:val="007312FE"/>
    <w:rsid w:val="00731473"/>
    <w:rsid w:val="0073192F"/>
    <w:rsid w:val="00731B0B"/>
    <w:rsid w:val="00731B79"/>
    <w:rsid w:val="00731CF1"/>
    <w:rsid w:val="00731EAE"/>
    <w:rsid w:val="0073222F"/>
    <w:rsid w:val="0073255A"/>
    <w:rsid w:val="007326D5"/>
    <w:rsid w:val="007328E8"/>
    <w:rsid w:val="00732CE6"/>
    <w:rsid w:val="00732D4B"/>
    <w:rsid w:val="00732DA9"/>
    <w:rsid w:val="00732F4C"/>
    <w:rsid w:val="00733083"/>
    <w:rsid w:val="007332D8"/>
    <w:rsid w:val="00733484"/>
    <w:rsid w:val="007335A5"/>
    <w:rsid w:val="00733670"/>
    <w:rsid w:val="0073377A"/>
    <w:rsid w:val="007339E9"/>
    <w:rsid w:val="00733CD6"/>
    <w:rsid w:val="00733D31"/>
    <w:rsid w:val="00733F7C"/>
    <w:rsid w:val="0073403B"/>
    <w:rsid w:val="0073407B"/>
    <w:rsid w:val="00734117"/>
    <w:rsid w:val="007342CD"/>
    <w:rsid w:val="00734583"/>
    <w:rsid w:val="0073463F"/>
    <w:rsid w:val="00734772"/>
    <w:rsid w:val="00734A55"/>
    <w:rsid w:val="00734BAD"/>
    <w:rsid w:val="00734DC7"/>
    <w:rsid w:val="00734EA8"/>
    <w:rsid w:val="00735072"/>
    <w:rsid w:val="007350C4"/>
    <w:rsid w:val="00735233"/>
    <w:rsid w:val="007352E0"/>
    <w:rsid w:val="007353BF"/>
    <w:rsid w:val="0073557C"/>
    <w:rsid w:val="007355BE"/>
    <w:rsid w:val="0073569A"/>
    <w:rsid w:val="007356D7"/>
    <w:rsid w:val="00735892"/>
    <w:rsid w:val="00735A8E"/>
    <w:rsid w:val="00735B5A"/>
    <w:rsid w:val="00736265"/>
    <w:rsid w:val="00736295"/>
    <w:rsid w:val="00736451"/>
    <w:rsid w:val="007365F5"/>
    <w:rsid w:val="00736A0E"/>
    <w:rsid w:val="00736A24"/>
    <w:rsid w:val="00736B29"/>
    <w:rsid w:val="00736BE7"/>
    <w:rsid w:val="00736C60"/>
    <w:rsid w:val="00736E53"/>
    <w:rsid w:val="007371BC"/>
    <w:rsid w:val="007371E1"/>
    <w:rsid w:val="00737205"/>
    <w:rsid w:val="0073726C"/>
    <w:rsid w:val="00737588"/>
    <w:rsid w:val="007375EA"/>
    <w:rsid w:val="007376F0"/>
    <w:rsid w:val="00737A9E"/>
    <w:rsid w:val="00737C17"/>
    <w:rsid w:val="00737ECF"/>
    <w:rsid w:val="00737F5F"/>
    <w:rsid w:val="00740035"/>
    <w:rsid w:val="0074044E"/>
    <w:rsid w:val="00740534"/>
    <w:rsid w:val="007406B6"/>
    <w:rsid w:val="007407B1"/>
    <w:rsid w:val="007407CB"/>
    <w:rsid w:val="007407D8"/>
    <w:rsid w:val="0074095C"/>
    <w:rsid w:val="00741097"/>
    <w:rsid w:val="00741098"/>
    <w:rsid w:val="00741394"/>
    <w:rsid w:val="00741500"/>
    <w:rsid w:val="00741517"/>
    <w:rsid w:val="00741697"/>
    <w:rsid w:val="007416F5"/>
    <w:rsid w:val="007419DF"/>
    <w:rsid w:val="00741EF4"/>
    <w:rsid w:val="00742261"/>
    <w:rsid w:val="007428CC"/>
    <w:rsid w:val="00742942"/>
    <w:rsid w:val="00742A97"/>
    <w:rsid w:val="00742E3F"/>
    <w:rsid w:val="00742F55"/>
    <w:rsid w:val="007433EB"/>
    <w:rsid w:val="0074343D"/>
    <w:rsid w:val="0074361F"/>
    <w:rsid w:val="007437FB"/>
    <w:rsid w:val="007438CE"/>
    <w:rsid w:val="00743B02"/>
    <w:rsid w:val="00743BE5"/>
    <w:rsid w:val="00743BE9"/>
    <w:rsid w:val="00744016"/>
    <w:rsid w:val="007440DF"/>
    <w:rsid w:val="007442E0"/>
    <w:rsid w:val="007447AB"/>
    <w:rsid w:val="007449C3"/>
    <w:rsid w:val="00744E7B"/>
    <w:rsid w:val="00744E9A"/>
    <w:rsid w:val="00744ED1"/>
    <w:rsid w:val="00744F8A"/>
    <w:rsid w:val="007450AE"/>
    <w:rsid w:val="007452E1"/>
    <w:rsid w:val="00745344"/>
    <w:rsid w:val="00745401"/>
    <w:rsid w:val="00745504"/>
    <w:rsid w:val="007455B8"/>
    <w:rsid w:val="0074585E"/>
    <w:rsid w:val="007458C4"/>
    <w:rsid w:val="00745A0A"/>
    <w:rsid w:val="00745ABF"/>
    <w:rsid w:val="00745BF3"/>
    <w:rsid w:val="00745C5D"/>
    <w:rsid w:val="00745CDF"/>
    <w:rsid w:val="00745D19"/>
    <w:rsid w:val="00745D9B"/>
    <w:rsid w:val="00745DA5"/>
    <w:rsid w:val="00745E62"/>
    <w:rsid w:val="0074615D"/>
    <w:rsid w:val="00746249"/>
    <w:rsid w:val="007462CA"/>
    <w:rsid w:val="0074693E"/>
    <w:rsid w:val="00746A55"/>
    <w:rsid w:val="00746AB3"/>
    <w:rsid w:val="00746C62"/>
    <w:rsid w:val="00746E58"/>
    <w:rsid w:val="00747558"/>
    <w:rsid w:val="00747B23"/>
    <w:rsid w:val="00747B87"/>
    <w:rsid w:val="00747C0B"/>
    <w:rsid w:val="00747E07"/>
    <w:rsid w:val="00747EFC"/>
    <w:rsid w:val="00747F8E"/>
    <w:rsid w:val="00750311"/>
    <w:rsid w:val="00750415"/>
    <w:rsid w:val="00750417"/>
    <w:rsid w:val="00750505"/>
    <w:rsid w:val="00750961"/>
    <w:rsid w:val="00750CD6"/>
    <w:rsid w:val="00751013"/>
    <w:rsid w:val="00751288"/>
    <w:rsid w:val="0075140A"/>
    <w:rsid w:val="0075178F"/>
    <w:rsid w:val="00751804"/>
    <w:rsid w:val="0075197A"/>
    <w:rsid w:val="007519DE"/>
    <w:rsid w:val="00751A30"/>
    <w:rsid w:val="00751A5F"/>
    <w:rsid w:val="00751B8A"/>
    <w:rsid w:val="00751D58"/>
    <w:rsid w:val="00751DE2"/>
    <w:rsid w:val="00751EEB"/>
    <w:rsid w:val="00751F9C"/>
    <w:rsid w:val="0075232B"/>
    <w:rsid w:val="007523A5"/>
    <w:rsid w:val="007525DA"/>
    <w:rsid w:val="007525E4"/>
    <w:rsid w:val="007527DD"/>
    <w:rsid w:val="007527DF"/>
    <w:rsid w:val="00752AD7"/>
    <w:rsid w:val="00752D0E"/>
    <w:rsid w:val="00752D44"/>
    <w:rsid w:val="00752EFA"/>
    <w:rsid w:val="00752FDA"/>
    <w:rsid w:val="00753298"/>
    <w:rsid w:val="0075338A"/>
    <w:rsid w:val="007533BC"/>
    <w:rsid w:val="00753440"/>
    <w:rsid w:val="00753731"/>
    <w:rsid w:val="00753A7D"/>
    <w:rsid w:val="00753DA5"/>
    <w:rsid w:val="0075406E"/>
    <w:rsid w:val="00754383"/>
    <w:rsid w:val="007543B4"/>
    <w:rsid w:val="00754846"/>
    <w:rsid w:val="0075492F"/>
    <w:rsid w:val="00754A17"/>
    <w:rsid w:val="00754A5F"/>
    <w:rsid w:val="00754BCF"/>
    <w:rsid w:val="00754F27"/>
    <w:rsid w:val="00754F73"/>
    <w:rsid w:val="00755144"/>
    <w:rsid w:val="00755638"/>
    <w:rsid w:val="00755711"/>
    <w:rsid w:val="00755D8C"/>
    <w:rsid w:val="00755FF3"/>
    <w:rsid w:val="0075616A"/>
    <w:rsid w:val="007563EF"/>
    <w:rsid w:val="007564A9"/>
    <w:rsid w:val="00756553"/>
    <w:rsid w:val="0075667D"/>
    <w:rsid w:val="00756689"/>
    <w:rsid w:val="00756936"/>
    <w:rsid w:val="00756A8E"/>
    <w:rsid w:val="00756DB1"/>
    <w:rsid w:val="00756E07"/>
    <w:rsid w:val="00756E23"/>
    <w:rsid w:val="00756F30"/>
    <w:rsid w:val="0075702B"/>
    <w:rsid w:val="00757414"/>
    <w:rsid w:val="00757673"/>
    <w:rsid w:val="00757686"/>
    <w:rsid w:val="0075769F"/>
    <w:rsid w:val="00757952"/>
    <w:rsid w:val="00757B29"/>
    <w:rsid w:val="00757BA4"/>
    <w:rsid w:val="00757C2F"/>
    <w:rsid w:val="00757D73"/>
    <w:rsid w:val="0076054C"/>
    <w:rsid w:val="00760551"/>
    <w:rsid w:val="007607DF"/>
    <w:rsid w:val="00760BC3"/>
    <w:rsid w:val="0076128F"/>
    <w:rsid w:val="00761306"/>
    <w:rsid w:val="007613D5"/>
    <w:rsid w:val="007615BC"/>
    <w:rsid w:val="0076178E"/>
    <w:rsid w:val="00761946"/>
    <w:rsid w:val="007621E3"/>
    <w:rsid w:val="00762448"/>
    <w:rsid w:val="00762847"/>
    <w:rsid w:val="00762A26"/>
    <w:rsid w:val="00762CCE"/>
    <w:rsid w:val="00762DF8"/>
    <w:rsid w:val="00763364"/>
    <w:rsid w:val="0076368E"/>
    <w:rsid w:val="007636CD"/>
    <w:rsid w:val="007636D9"/>
    <w:rsid w:val="00763837"/>
    <w:rsid w:val="00763AA5"/>
    <w:rsid w:val="00763AC5"/>
    <w:rsid w:val="00763BEA"/>
    <w:rsid w:val="00763EA9"/>
    <w:rsid w:val="00763F50"/>
    <w:rsid w:val="0076417F"/>
    <w:rsid w:val="007641B1"/>
    <w:rsid w:val="00764219"/>
    <w:rsid w:val="007643DD"/>
    <w:rsid w:val="00764436"/>
    <w:rsid w:val="007647AB"/>
    <w:rsid w:val="007648DF"/>
    <w:rsid w:val="007648EC"/>
    <w:rsid w:val="00764951"/>
    <w:rsid w:val="00764A44"/>
    <w:rsid w:val="00764C6F"/>
    <w:rsid w:val="00764EC6"/>
    <w:rsid w:val="00764ECC"/>
    <w:rsid w:val="00764FA1"/>
    <w:rsid w:val="00764FA2"/>
    <w:rsid w:val="0076500D"/>
    <w:rsid w:val="007650DA"/>
    <w:rsid w:val="007652F0"/>
    <w:rsid w:val="00765313"/>
    <w:rsid w:val="00765371"/>
    <w:rsid w:val="007653FB"/>
    <w:rsid w:val="0076554D"/>
    <w:rsid w:val="00765589"/>
    <w:rsid w:val="00765652"/>
    <w:rsid w:val="00765956"/>
    <w:rsid w:val="00765D4B"/>
    <w:rsid w:val="00765DC2"/>
    <w:rsid w:val="00766062"/>
    <w:rsid w:val="0076607D"/>
    <w:rsid w:val="007662AE"/>
    <w:rsid w:val="007662B3"/>
    <w:rsid w:val="0076668D"/>
    <w:rsid w:val="007666AE"/>
    <w:rsid w:val="007669A3"/>
    <w:rsid w:val="00766C42"/>
    <w:rsid w:val="00766C67"/>
    <w:rsid w:val="00766CB2"/>
    <w:rsid w:val="00766F6F"/>
    <w:rsid w:val="007676C2"/>
    <w:rsid w:val="00767922"/>
    <w:rsid w:val="007679F6"/>
    <w:rsid w:val="00767ADA"/>
    <w:rsid w:val="00767C3C"/>
    <w:rsid w:val="00767C6E"/>
    <w:rsid w:val="00767D3F"/>
    <w:rsid w:val="00767E6D"/>
    <w:rsid w:val="007705B6"/>
    <w:rsid w:val="007706E5"/>
    <w:rsid w:val="007708B6"/>
    <w:rsid w:val="00770AAD"/>
    <w:rsid w:val="00770AD4"/>
    <w:rsid w:val="00770B81"/>
    <w:rsid w:val="00770BDF"/>
    <w:rsid w:val="00770BF2"/>
    <w:rsid w:val="00770CDB"/>
    <w:rsid w:val="007710B9"/>
    <w:rsid w:val="0077114B"/>
    <w:rsid w:val="007711EF"/>
    <w:rsid w:val="0077141B"/>
    <w:rsid w:val="00771725"/>
    <w:rsid w:val="00771D38"/>
    <w:rsid w:val="00771FB8"/>
    <w:rsid w:val="0077247A"/>
    <w:rsid w:val="007725ED"/>
    <w:rsid w:val="0077262F"/>
    <w:rsid w:val="007727CA"/>
    <w:rsid w:val="00772BDD"/>
    <w:rsid w:val="00772C68"/>
    <w:rsid w:val="007731B4"/>
    <w:rsid w:val="0077339C"/>
    <w:rsid w:val="007734C9"/>
    <w:rsid w:val="00773632"/>
    <w:rsid w:val="007737F9"/>
    <w:rsid w:val="00773809"/>
    <w:rsid w:val="0077395B"/>
    <w:rsid w:val="00773E17"/>
    <w:rsid w:val="007741C2"/>
    <w:rsid w:val="007744D1"/>
    <w:rsid w:val="007745F9"/>
    <w:rsid w:val="007747A3"/>
    <w:rsid w:val="0077499B"/>
    <w:rsid w:val="00774C4B"/>
    <w:rsid w:val="00774FFF"/>
    <w:rsid w:val="00775435"/>
    <w:rsid w:val="00775474"/>
    <w:rsid w:val="00775DF4"/>
    <w:rsid w:val="00776862"/>
    <w:rsid w:val="00776AA9"/>
    <w:rsid w:val="00776B1D"/>
    <w:rsid w:val="00776DE4"/>
    <w:rsid w:val="0077702B"/>
    <w:rsid w:val="0077712D"/>
    <w:rsid w:val="007772F9"/>
    <w:rsid w:val="0077737B"/>
    <w:rsid w:val="00777383"/>
    <w:rsid w:val="007773D5"/>
    <w:rsid w:val="007775FD"/>
    <w:rsid w:val="007776CF"/>
    <w:rsid w:val="007778DD"/>
    <w:rsid w:val="00777962"/>
    <w:rsid w:val="00777CFB"/>
    <w:rsid w:val="00777DAE"/>
    <w:rsid w:val="00777E3E"/>
    <w:rsid w:val="007801BA"/>
    <w:rsid w:val="007801C0"/>
    <w:rsid w:val="007803AB"/>
    <w:rsid w:val="007807DE"/>
    <w:rsid w:val="007809CE"/>
    <w:rsid w:val="00780CD2"/>
    <w:rsid w:val="00780CD5"/>
    <w:rsid w:val="00780EB2"/>
    <w:rsid w:val="00781183"/>
    <w:rsid w:val="00781356"/>
    <w:rsid w:val="007814AD"/>
    <w:rsid w:val="007814F0"/>
    <w:rsid w:val="0078186F"/>
    <w:rsid w:val="007819C2"/>
    <w:rsid w:val="007819DB"/>
    <w:rsid w:val="00781A03"/>
    <w:rsid w:val="00781D65"/>
    <w:rsid w:val="00781DD3"/>
    <w:rsid w:val="00781DF3"/>
    <w:rsid w:val="00781E97"/>
    <w:rsid w:val="0078240E"/>
    <w:rsid w:val="00782426"/>
    <w:rsid w:val="0078242F"/>
    <w:rsid w:val="00782789"/>
    <w:rsid w:val="00782B48"/>
    <w:rsid w:val="00782C04"/>
    <w:rsid w:val="00782D8C"/>
    <w:rsid w:val="00782FB8"/>
    <w:rsid w:val="00783037"/>
    <w:rsid w:val="00783072"/>
    <w:rsid w:val="007831C3"/>
    <w:rsid w:val="0078353C"/>
    <w:rsid w:val="007836FD"/>
    <w:rsid w:val="007839A6"/>
    <w:rsid w:val="00783D1A"/>
    <w:rsid w:val="00783EA3"/>
    <w:rsid w:val="007842A5"/>
    <w:rsid w:val="007842C3"/>
    <w:rsid w:val="00784360"/>
    <w:rsid w:val="00784534"/>
    <w:rsid w:val="00784547"/>
    <w:rsid w:val="007846D7"/>
    <w:rsid w:val="00784830"/>
    <w:rsid w:val="007849E1"/>
    <w:rsid w:val="007849E2"/>
    <w:rsid w:val="00784A6D"/>
    <w:rsid w:val="00784D3D"/>
    <w:rsid w:val="007852D7"/>
    <w:rsid w:val="00785A29"/>
    <w:rsid w:val="00785FCA"/>
    <w:rsid w:val="0078608C"/>
    <w:rsid w:val="00786190"/>
    <w:rsid w:val="007861EF"/>
    <w:rsid w:val="00786397"/>
    <w:rsid w:val="00786584"/>
    <w:rsid w:val="007865AC"/>
    <w:rsid w:val="007865D6"/>
    <w:rsid w:val="00786946"/>
    <w:rsid w:val="00787010"/>
    <w:rsid w:val="007872DA"/>
    <w:rsid w:val="007872E1"/>
    <w:rsid w:val="007875E8"/>
    <w:rsid w:val="00787605"/>
    <w:rsid w:val="00787911"/>
    <w:rsid w:val="00787ABD"/>
    <w:rsid w:val="00787F90"/>
    <w:rsid w:val="0078D617"/>
    <w:rsid w:val="0079001F"/>
    <w:rsid w:val="00790372"/>
    <w:rsid w:val="0079050B"/>
    <w:rsid w:val="00790AD7"/>
    <w:rsid w:val="00790BE5"/>
    <w:rsid w:val="00790D5F"/>
    <w:rsid w:val="00790DA5"/>
    <w:rsid w:val="00790E38"/>
    <w:rsid w:val="00790F7A"/>
    <w:rsid w:val="00791514"/>
    <w:rsid w:val="00791962"/>
    <w:rsid w:val="00791DBA"/>
    <w:rsid w:val="00791E0D"/>
    <w:rsid w:val="00791F62"/>
    <w:rsid w:val="00792358"/>
    <w:rsid w:val="00792363"/>
    <w:rsid w:val="007927F8"/>
    <w:rsid w:val="0079280D"/>
    <w:rsid w:val="00792F54"/>
    <w:rsid w:val="007931C8"/>
    <w:rsid w:val="007932AE"/>
    <w:rsid w:val="007933A0"/>
    <w:rsid w:val="00793653"/>
    <w:rsid w:val="0079373D"/>
    <w:rsid w:val="0079377C"/>
    <w:rsid w:val="00793C8C"/>
    <w:rsid w:val="00793CDC"/>
    <w:rsid w:val="00793E66"/>
    <w:rsid w:val="00793F7B"/>
    <w:rsid w:val="00794112"/>
    <w:rsid w:val="00794303"/>
    <w:rsid w:val="0079444E"/>
    <w:rsid w:val="00794557"/>
    <w:rsid w:val="007949A3"/>
    <w:rsid w:val="00794DFD"/>
    <w:rsid w:val="00795293"/>
    <w:rsid w:val="00795339"/>
    <w:rsid w:val="007953A5"/>
    <w:rsid w:val="007953CF"/>
    <w:rsid w:val="0079585F"/>
    <w:rsid w:val="00795AAD"/>
    <w:rsid w:val="00795BA0"/>
    <w:rsid w:val="00795BF4"/>
    <w:rsid w:val="00795E68"/>
    <w:rsid w:val="0079600C"/>
    <w:rsid w:val="00796027"/>
    <w:rsid w:val="00796090"/>
    <w:rsid w:val="0079642D"/>
    <w:rsid w:val="007964D5"/>
    <w:rsid w:val="00796550"/>
    <w:rsid w:val="007965B2"/>
    <w:rsid w:val="0079682F"/>
    <w:rsid w:val="007968B8"/>
    <w:rsid w:val="00796AD6"/>
    <w:rsid w:val="00796C4B"/>
    <w:rsid w:val="00796D36"/>
    <w:rsid w:val="00796DFE"/>
    <w:rsid w:val="00796E9A"/>
    <w:rsid w:val="00796F80"/>
    <w:rsid w:val="00797231"/>
    <w:rsid w:val="007972B5"/>
    <w:rsid w:val="0079730B"/>
    <w:rsid w:val="00797432"/>
    <w:rsid w:val="007974FC"/>
    <w:rsid w:val="0079769C"/>
    <w:rsid w:val="007976AC"/>
    <w:rsid w:val="0079782B"/>
    <w:rsid w:val="00797AC5"/>
    <w:rsid w:val="00797B9F"/>
    <w:rsid w:val="00797D4B"/>
    <w:rsid w:val="007A0228"/>
    <w:rsid w:val="007A0327"/>
    <w:rsid w:val="007A038B"/>
    <w:rsid w:val="007A0393"/>
    <w:rsid w:val="007A0878"/>
    <w:rsid w:val="007A0B47"/>
    <w:rsid w:val="007A0D06"/>
    <w:rsid w:val="007A0D71"/>
    <w:rsid w:val="007A0D8A"/>
    <w:rsid w:val="007A0E68"/>
    <w:rsid w:val="007A0EA9"/>
    <w:rsid w:val="007A0ED0"/>
    <w:rsid w:val="007A116D"/>
    <w:rsid w:val="007A133D"/>
    <w:rsid w:val="007A16F9"/>
    <w:rsid w:val="007A1862"/>
    <w:rsid w:val="007A18CD"/>
    <w:rsid w:val="007A19A6"/>
    <w:rsid w:val="007A1F8A"/>
    <w:rsid w:val="007A2198"/>
    <w:rsid w:val="007A2300"/>
    <w:rsid w:val="007A23D8"/>
    <w:rsid w:val="007A24B0"/>
    <w:rsid w:val="007A24CF"/>
    <w:rsid w:val="007A29A1"/>
    <w:rsid w:val="007A2A09"/>
    <w:rsid w:val="007A2A1E"/>
    <w:rsid w:val="007A2E9F"/>
    <w:rsid w:val="007A2FE6"/>
    <w:rsid w:val="007A3083"/>
    <w:rsid w:val="007A324F"/>
    <w:rsid w:val="007A35E6"/>
    <w:rsid w:val="007A38FC"/>
    <w:rsid w:val="007A39B4"/>
    <w:rsid w:val="007A3BBD"/>
    <w:rsid w:val="007A3BEF"/>
    <w:rsid w:val="007A3CAA"/>
    <w:rsid w:val="007A4108"/>
    <w:rsid w:val="007A4267"/>
    <w:rsid w:val="007A44B9"/>
    <w:rsid w:val="007A4651"/>
    <w:rsid w:val="007A488F"/>
    <w:rsid w:val="007A48BD"/>
    <w:rsid w:val="007A4C76"/>
    <w:rsid w:val="007A4D7E"/>
    <w:rsid w:val="007A4EA9"/>
    <w:rsid w:val="007A4FB0"/>
    <w:rsid w:val="007A51E0"/>
    <w:rsid w:val="007A538A"/>
    <w:rsid w:val="007A5424"/>
    <w:rsid w:val="007A5A7F"/>
    <w:rsid w:val="007A5A9A"/>
    <w:rsid w:val="007A5BE7"/>
    <w:rsid w:val="007A5CFC"/>
    <w:rsid w:val="007A5DF3"/>
    <w:rsid w:val="007A615E"/>
    <w:rsid w:val="007A6265"/>
    <w:rsid w:val="007A6290"/>
    <w:rsid w:val="007A62BC"/>
    <w:rsid w:val="007A6627"/>
    <w:rsid w:val="007A678A"/>
    <w:rsid w:val="007A6A68"/>
    <w:rsid w:val="007A6A6D"/>
    <w:rsid w:val="007A6B85"/>
    <w:rsid w:val="007A6C26"/>
    <w:rsid w:val="007A6FD2"/>
    <w:rsid w:val="007A7015"/>
    <w:rsid w:val="007A708A"/>
    <w:rsid w:val="007A737F"/>
    <w:rsid w:val="007A7739"/>
    <w:rsid w:val="007A7792"/>
    <w:rsid w:val="007A7C32"/>
    <w:rsid w:val="007A7F57"/>
    <w:rsid w:val="007B00D7"/>
    <w:rsid w:val="007B06C5"/>
    <w:rsid w:val="007B08CA"/>
    <w:rsid w:val="007B0913"/>
    <w:rsid w:val="007B0AA2"/>
    <w:rsid w:val="007B0F42"/>
    <w:rsid w:val="007B13C7"/>
    <w:rsid w:val="007B16D9"/>
    <w:rsid w:val="007B1871"/>
    <w:rsid w:val="007B1A50"/>
    <w:rsid w:val="007B1AA1"/>
    <w:rsid w:val="007B1AEF"/>
    <w:rsid w:val="007B1F64"/>
    <w:rsid w:val="007B20A8"/>
    <w:rsid w:val="007B266F"/>
    <w:rsid w:val="007B27A5"/>
    <w:rsid w:val="007B2900"/>
    <w:rsid w:val="007B2A40"/>
    <w:rsid w:val="007B2B71"/>
    <w:rsid w:val="007B2DEC"/>
    <w:rsid w:val="007B31AA"/>
    <w:rsid w:val="007B326E"/>
    <w:rsid w:val="007B34B5"/>
    <w:rsid w:val="007B3589"/>
    <w:rsid w:val="007B3663"/>
    <w:rsid w:val="007B37AE"/>
    <w:rsid w:val="007B3941"/>
    <w:rsid w:val="007B3A6F"/>
    <w:rsid w:val="007B3C75"/>
    <w:rsid w:val="007B3DF1"/>
    <w:rsid w:val="007B3FBA"/>
    <w:rsid w:val="007B4374"/>
    <w:rsid w:val="007B45A1"/>
    <w:rsid w:val="007B47F9"/>
    <w:rsid w:val="007B48EF"/>
    <w:rsid w:val="007B4906"/>
    <w:rsid w:val="007B4B30"/>
    <w:rsid w:val="007B4B75"/>
    <w:rsid w:val="007B4EB7"/>
    <w:rsid w:val="007B4EE3"/>
    <w:rsid w:val="007B502B"/>
    <w:rsid w:val="007B5477"/>
    <w:rsid w:val="007B5831"/>
    <w:rsid w:val="007B5A72"/>
    <w:rsid w:val="007B5DB7"/>
    <w:rsid w:val="007B5E12"/>
    <w:rsid w:val="007B5EAE"/>
    <w:rsid w:val="007B5EE5"/>
    <w:rsid w:val="007B5F90"/>
    <w:rsid w:val="007B6429"/>
    <w:rsid w:val="007B64B4"/>
    <w:rsid w:val="007B6832"/>
    <w:rsid w:val="007B6A51"/>
    <w:rsid w:val="007B6BAD"/>
    <w:rsid w:val="007B6D5F"/>
    <w:rsid w:val="007B6F92"/>
    <w:rsid w:val="007B7030"/>
    <w:rsid w:val="007B71FA"/>
    <w:rsid w:val="007B7467"/>
    <w:rsid w:val="007B75DC"/>
    <w:rsid w:val="007B7833"/>
    <w:rsid w:val="007B7917"/>
    <w:rsid w:val="007B799A"/>
    <w:rsid w:val="007B7CC5"/>
    <w:rsid w:val="007B7CD5"/>
    <w:rsid w:val="007C02B0"/>
    <w:rsid w:val="007C02CD"/>
    <w:rsid w:val="007C0362"/>
    <w:rsid w:val="007C0390"/>
    <w:rsid w:val="007C056B"/>
    <w:rsid w:val="007C093A"/>
    <w:rsid w:val="007C0AB3"/>
    <w:rsid w:val="007C0BCE"/>
    <w:rsid w:val="007C0C9F"/>
    <w:rsid w:val="007C0D12"/>
    <w:rsid w:val="007C0E40"/>
    <w:rsid w:val="007C0F29"/>
    <w:rsid w:val="007C0FB4"/>
    <w:rsid w:val="007C10D0"/>
    <w:rsid w:val="007C1124"/>
    <w:rsid w:val="007C122F"/>
    <w:rsid w:val="007C1420"/>
    <w:rsid w:val="007C14B7"/>
    <w:rsid w:val="007C14E5"/>
    <w:rsid w:val="007C1590"/>
    <w:rsid w:val="007C16EB"/>
    <w:rsid w:val="007C1745"/>
    <w:rsid w:val="007C17F3"/>
    <w:rsid w:val="007C1936"/>
    <w:rsid w:val="007C1989"/>
    <w:rsid w:val="007C1C0A"/>
    <w:rsid w:val="007C1D21"/>
    <w:rsid w:val="007C1EC1"/>
    <w:rsid w:val="007C1ECC"/>
    <w:rsid w:val="007C2106"/>
    <w:rsid w:val="007C2270"/>
    <w:rsid w:val="007C2426"/>
    <w:rsid w:val="007C25A0"/>
    <w:rsid w:val="007C2685"/>
    <w:rsid w:val="007C2A82"/>
    <w:rsid w:val="007C2B29"/>
    <w:rsid w:val="007C2FBD"/>
    <w:rsid w:val="007C3016"/>
    <w:rsid w:val="007C3243"/>
    <w:rsid w:val="007C348E"/>
    <w:rsid w:val="007C34E7"/>
    <w:rsid w:val="007C360F"/>
    <w:rsid w:val="007C367F"/>
    <w:rsid w:val="007C36CE"/>
    <w:rsid w:val="007C3759"/>
    <w:rsid w:val="007C38FA"/>
    <w:rsid w:val="007C398C"/>
    <w:rsid w:val="007C3AD4"/>
    <w:rsid w:val="007C3B32"/>
    <w:rsid w:val="007C3C55"/>
    <w:rsid w:val="007C3D77"/>
    <w:rsid w:val="007C3DA8"/>
    <w:rsid w:val="007C3E6F"/>
    <w:rsid w:val="007C3F55"/>
    <w:rsid w:val="007C4019"/>
    <w:rsid w:val="007C40B6"/>
    <w:rsid w:val="007C4154"/>
    <w:rsid w:val="007C4177"/>
    <w:rsid w:val="007C41AF"/>
    <w:rsid w:val="007C41D9"/>
    <w:rsid w:val="007C45DD"/>
    <w:rsid w:val="007C4748"/>
    <w:rsid w:val="007C49A1"/>
    <w:rsid w:val="007C4DC5"/>
    <w:rsid w:val="007C4DE7"/>
    <w:rsid w:val="007C4EB3"/>
    <w:rsid w:val="007C5062"/>
    <w:rsid w:val="007C508C"/>
    <w:rsid w:val="007C529B"/>
    <w:rsid w:val="007C59CB"/>
    <w:rsid w:val="007C5AF6"/>
    <w:rsid w:val="007C611D"/>
    <w:rsid w:val="007C618D"/>
    <w:rsid w:val="007C622B"/>
    <w:rsid w:val="007C6241"/>
    <w:rsid w:val="007C6242"/>
    <w:rsid w:val="007C62B3"/>
    <w:rsid w:val="007C6333"/>
    <w:rsid w:val="007C647F"/>
    <w:rsid w:val="007C65D5"/>
    <w:rsid w:val="007C65E0"/>
    <w:rsid w:val="007C6733"/>
    <w:rsid w:val="007C67E2"/>
    <w:rsid w:val="007C6B86"/>
    <w:rsid w:val="007C6C5D"/>
    <w:rsid w:val="007C6D1D"/>
    <w:rsid w:val="007C712E"/>
    <w:rsid w:val="007C7179"/>
    <w:rsid w:val="007C71A6"/>
    <w:rsid w:val="007C7201"/>
    <w:rsid w:val="007C73E6"/>
    <w:rsid w:val="007C75AD"/>
    <w:rsid w:val="007C75E6"/>
    <w:rsid w:val="007C7863"/>
    <w:rsid w:val="007C7890"/>
    <w:rsid w:val="007C7904"/>
    <w:rsid w:val="007C7BDB"/>
    <w:rsid w:val="007C7C82"/>
    <w:rsid w:val="007C7CC0"/>
    <w:rsid w:val="007C7CE8"/>
    <w:rsid w:val="007C7EA2"/>
    <w:rsid w:val="007D017A"/>
    <w:rsid w:val="007D018B"/>
    <w:rsid w:val="007D03AD"/>
    <w:rsid w:val="007D03D1"/>
    <w:rsid w:val="007D0536"/>
    <w:rsid w:val="007D05DF"/>
    <w:rsid w:val="007D06BD"/>
    <w:rsid w:val="007D0753"/>
    <w:rsid w:val="007D0962"/>
    <w:rsid w:val="007D0984"/>
    <w:rsid w:val="007D0A52"/>
    <w:rsid w:val="007D0A71"/>
    <w:rsid w:val="007D0E6B"/>
    <w:rsid w:val="007D1190"/>
    <w:rsid w:val="007D12AD"/>
    <w:rsid w:val="007D1473"/>
    <w:rsid w:val="007D1746"/>
    <w:rsid w:val="007D18F3"/>
    <w:rsid w:val="007D1A88"/>
    <w:rsid w:val="007D1D2A"/>
    <w:rsid w:val="007D1DEB"/>
    <w:rsid w:val="007D1F7B"/>
    <w:rsid w:val="007D1FB4"/>
    <w:rsid w:val="007D20F5"/>
    <w:rsid w:val="007D2377"/>
    <w:rsid w:val="007D27DF"/>
    <w:rsid w:val="007D28AD"/>
    <w:rsid w:val="007D294D"/>
    <w:rsid w:val="007D2BC7"/>
    <w:rsid w:val="007D2C29"/>
    <w:rsid w:val="007D304A"/>
    <w:rsid w:val="007D30D8"/>
    <w:rsid w:val="007D3192"/>
    <w:rsid w:val="007D319A"/>
    <w:rsid w:val="007D3224"/>
    <w:rsid w:val="007D3357"/>
    <w:rsid w:val="007D34DD"/>
    <w:rsid w:val="007D34E1"/>
    <w:rsid w:val="007D35C0"/>
    <w:rsid w:val="007D35CD"/>
    <w:rsid w:val="007D35EA"/>
    <w:rsid w:val="007D3B89"/>
    <w:rsid w:val="007D3BA8"/>
    <w:rsid w:val="007D3DA1"/>
    <w:rsid w:val="007D3DFE"/>
    <w:rsid w:val="007D3E05"/>
    <w:rsid w:val="007D3F4F"/>
    <w:rsid w:val="007D3F86"/>
    <w:rsid w:val="007D4045"/>
    <w:rsid w:val="007D41AC"/>
    <w:rsid w:val="007D41F4"/>
    <w:rsid w:val="007D4356"/>
    <w:rsid w:val="007D43A9"/>
    <w:rsid w:val="007D47EF"/>
    <w:rsid w:val="007D4AEA"/>
    <w:rsid w:val="007D4B77"/>
    <w:rsid w:val="007D4C3C"/>
    <w:rsid w:val="007D4FFB"/>
    <w:rsid w:val="007D5342"/>
    <w:rsid w:val="007D53C0"/>
    <w:rsid w:val="007D557D"/>
    <w:rsid w:val="007D5883"/>
    <w:rsid w:val="007D5CC9"/>
    <w:rsid w:val="007D5D0B"/>
    <w:rsid w:val="007D5DD2"/>
    <w:rsid w:val="007D5E49"/>
    <w:rsid w:val="007D5F1C"/>
    <w:rsid w:val="007D6062"/>
    <w:rsid w:val="007D62BE"/>
    <w:rsid w:val="007D643B"/>
    <w:rsid w:val="007D6529"/>
    <w:rsid w:val="007D65D3"/>
    <w:rsid w:val="007D66E9"/>
    <w:rsid w:val="007D6732"/>
    <w:rsid w:val="007D6785"/>
    <w:rsid w:val="007D6873"/>
    <w:rsid w:val="007D695B"/>
    <w:rsid w:val="007D698A"/>
    <w:rsid w:val="007D69DA"/>
    <w:rsid w:val="007D6AE0"/>
    <w:rsid w:val="007D6E6D"/>
    <w:rsid w:val="007D71B4"/>
    <w:rsid w:val="007D7253"/>
    <w:rsid w:val="007D72D8"/>
    <w:rsid w:val="007D7452"/>
    <w:rsid w:val="007D750E"/>
    <w:rsid w:val="007D7596"/>
    <w:rsid w:val="007D7F4B"/>
    <w:rsid w:val="007E0628"/>
    <w:rsid w:val="007E0C35"/>
    <w:rsid w:val="007E0D7E"/>
    <w:rsid w:val="007E1272"/>
    <w:rsid w:val="007E1311"/>
    <w:rsid w:val="007E152E"/>
    <w:rsid w:val="007E19C2"/>
    <w:rsid w:val="007E1A69"/>
    <w:rsid w:val="007E1B0A"/>
    <w:rsid w:val="007E1B82"/>
    <w:rsid w:val="007E1BD7"/>
    <w:rsid w:val="007E1E02"/>
    <w:rsid w:val="007E2045"/>
    <w:rsid w:val="007E2107"/>
    <w:rsid w:val="007E221D"/>
    <w:rsid w:val="007E22F1"/>
    <w:rsid w:val="007E24FE"/>
    <w:rsid w:val="007E2C45"/>
    <w:rsid w:val="007E2C9B"/>
    <w:rsid w:val="007E2CBF"/>
    <w:rsid w:val="007E2D6D"/>
    <w:rsid w:val="007E2E8E"/>
    <w:rsid w:val="007E3026"/>
    <w:rsid w:val="007E3233"/>
    <w:rsid w:val="007E32E3"/>
    <w:rsid w:val="007E3402"/>
    <w:rsid w:val="007E34A1"/>
    <w:rsid w:val="007E35AC"/>
    <w:rsid w:val="007E37C0"/>
    <w:rsid w:val="007E3871"/>
    <w:rsid w:val="007E38D1"/>
    <w:rsid w:val="007E3A76"/>
    <w:rsid w:val="007E3CFA"/>
    <w:rsid w:val="007E3E83"/>
    <w:rsid w:val="007E3F02"/>
    <w:rsid w:val="007E40A1"/>
    <w:rsid w:val="007E4369"/>
    <w:rsid w:val="007E4644"/>
    <w:rsid w:val="007E4836"/>
    <w:rsid w:val="007E4A65"/>
    <w:rsid w:val="007E4B3D"/>
    <w:rsid w:val="007E5107"/>
    <w:rsid w:val="007E5397"/>
    <w:rsid w:val="007E5A41"/>
    <w:rsid w:val="007E5AFA"/>
    <w:rsid w:val="007E5C04"/>
    <w:rsid w:val="007E5C44"/>
    <w:rsid w:val="007E6081"/>
    <w:rsid w:val="007E6515"/>
    <w:rsid w:val="007E65FD"/>
    <w:rsid w:val="007E6618"/>
    <w:rsid w:val="007E66F6"/>
    <w:rsid w:val="007E699C"/>
    <w:rsid w:val="007E6B4F"/>
    <w:rsid w:val="007E6CCA"/>
    <w:rsid w:val="007E6F99"/>
    <w:rsid w:val="007E733F"/>
    <w:rsid w:val="007E7455"/>
    <w:rsid w:val="007E74A1"/>
    <w:rsid w:val="007E79FE"/>
    <w:rsid w:val="007E7A34"/>
    <w:rsid w:val="007E7E92"/>
    <w:rsid w:val="007E7EB7"/>
    <w:rsid w:val="007F00CE"/>
    <w:rsid w:val="007F02B9"/>
    <w:rsid w:val="007F043B"/>
    <w:rsid w:val="007F045C"/>
    <w:rsid w:val="007F0494"/>
    <w:rsid w:val="007F09C5"/>
    <w:rsid w:val="007F0C9A"/>
    <w:rsid w:val="007F0D0F"/>
    <w:rsid w:val="007F0E80"/>
    <w:rsid w:val="007F0F34"/>
    <w:rsid w:val="007F1144"/>
    <w:rsid w:val="007F1159"/>
    <w:rsid w:val="007F1281"/>
    <w:rsid w:val="007F13CC"/>
    <w:rsid w:val="007F1460"/>
    <w:rsid w:val="007F16B2"/>
    <w:rsid w:val="007F16F8"/>
    <w:rsid w:val="007F1A3A"/>
    <w:rsid w:val="007F1ADE"/>
    <w:rsid w:val="007F1D63"/>
    <w:rsid w:val="007F1FD1"/>
    <w:rsid w:val="007F205B"/>
    <w:rsid w:val="007F22CA"/>
    <w:rsid w:val="007F23C4"/>
    <w:rsid w:val="007F28D3"/>
    <w:rsid w:val="007F2A03"/>
    <w:rsid w:val="007F2A3D"/>
    <w:rsid w:val="007F2B95"/>
    <w:rsid w:val="007F2E5E"/>
    <w:rsid w:val="007F3224"/>
    <w:rsid w:val="007F3598"/>
    <w:rsid w:val="007F3600"/>
    <w:rsid w:val="007F3670"/>
    <w:rsid w:val="007F36CB"/>
    <w:rsid w:val="007F3A3D"/>
    <w:rsid w:val="007F3D73"/>
    <w:rsid w:val="007F3E1C"/>
    <w:rsid w:val="007F40A7"/>
    <w:rsid w:val="007F41B0"/>
    <w:rsid w:val="007F42FF"/>
    <w:rsid w:val="007F43AE"/>
    <w:rsid w:val="007F4521"/>
    <w:rsid w:val="007F47B7"/>
    <w:rsid w:val="007F495A"/>
    <w:rsid w:val="007F4B9E"/>
    <w:rsid w:val="007F4D38"/>
    <w:rsid w:val="007F4D9A"/>
    <w:rsid w:val="007F4E87"/>
    <w:rsid w:val="007F4F22"/>
    <w:rsid w:val="007F5173"/>
    <w:rsid w:val="007F537A"/>
    <w:rsid w:val="007F53F0"/>
    <w:rsid w:val="007F5684"/>
    <w:rsid w:val="007F57E9"/>
    <w:rsid w:val="007F59C9"/>
    <w:rsid w:val="007F616B"/>
    <w:rsid w:val="007F6249"/>
    <w:rsid w:val="007F6364"/>
    <w:rsid w:val="007F63ED"/>
    <w:rsid w:val="007F6408"/>
    <w:rsid w:val="007F6501"/>
    <w:rsid w:val="007F65EA"/>
    <w:rsid w:val="007F6716"/>
    <w:rsid w:val="007F67F5"/>
    <w:rsid w:val="007F6F05"/>
    <w:rsid w:val="007F70C9"/>
    <w:rsid w:val="007F711D"/>
    <w:rsid w:val="007F7143"/>
    <w:rsid w:val="007F74E7"/>
    <w:rsid w:val="007F7747"/>
    <w:rsid w:val="007F7D77"/>
    <w:rsid w:val="00800144"/>
    <w:rsid w:val="0080037A"/>
    <w:rsid w:val="0080056D"/>
    <w:rsid w:val="008005EB"/>
    <w:rsid w:val="0080066C"/>
    <w:rsid w:val="00800750"/>
    <w:rsid w:val="0080095D"/>
    <w:rsid w:val="00800F28"/>
    <w:rsid w:val="00800F64"/>
    <w:rsid w:val="0080108E"/>
    <w:rsid w:val="00801122"/>
    <w:rsid w:val="0080119A"/>
    <w:rsid w:val="00801411"/>
    <w:rsid w:val="008016BA"/>
    <w:rsid w:val="008019EB"/>
    <w:rsid w:val="00801DB1"/>
    <w:rsid w:val="00801E0B"/>
    <w:rsid w:val="008020D2"/>
    <w:rsid w:val="008020E7"/>
    <w:rsid w:val="008023E4"/>
    <w:rsid w:val="008026CF"/>
    <w:rsid w:val="00802761"/>
    <w:rsid w:val="00802994"/>
    <w:rsid w:val="008029D4"/>
    <w:rsid w:val="00802ED5"/>
    <w:rsid w:val="008030AC"/>
    <w:rsid w:val="00803198"/>
    <w:rsid w:val="008031DB"/>
    <w:rsid w:val="0080343E"/>
    <w:rsid w:val="008034DF"/>
    <w:rsid w:val="008037A3"/>
    <w:rsid w:val="00803931"/>
    <w:rsid w:val="008039CC"/>
    <w:rsid w:val="00803E09"/>
    <w:rsid w:val="00803E2B"/>
    <w:rsid w:val="00803E65"/>
    <w:rsid w:val="00804171"/>
    <w:rsid w:val="0080439F"/>
    <w:rsid w:val="0080445F"/>
    <w:rsid w:val="00804480"/>
    <w:rsid w:val="00804487"/>
    <w:rsid w:val="008044DB"/>
    <w:rsid w:val="008044EF"/>
    <w:rsid w:val="00804CAA"/>
    <w:rsid w:val="00804F9A"/>
    <w:rsid w:val="00805018"/>
    <w:rsid w:val="0080516C"/>
    <w:rsid w:val="008051E5"/>
    <w:rsid w:val="00805207"/>
    <w:rsid w:val="008056CB"/>
    <w:rsid w:val="00805E17"/>
    <w:rsid w:val="00805EF8"/>
    <w:rsid w:val="008062E7"/>
    <w:rsid w:val="008064CB"/>
    <w:rsid w:val="008067BC"/>
    <w:rsid w:val="00806819"/>
    <w:rsid w:val="00806837"/>
    <w:rsid w:val="0080683F"/>
    <w:rsid w:val="00806A0B"/>
    <w:rsid w:val="008070BF"/>
    <w:rsid w:val="008070E4"/>
    <w:rsid w:val="008070F6"/>
    <w:rsid w:val="00807132"/>
    <w:rsid w:val="008075CA"/>
    <w:rsid w:val="00807979"/>
    <w:rsid w:val="00807BFE"/>
    <w:rsid w:val="00807E7B"/>
    <w:rsid w:val="00807F97"/>
    <w:rsid w:val="008103DD"/>
    <w:rsid w:val="00810492"/>
    <w:rsid w:val="008105BD"/>
    <w:rsid w:val="008106EC"/>
    <w:rsid w:val="00810749"/>
    <w:rsid w:val="0081085C"/>
    <w:rsid w:val="00810B3D"/>
    <w:rsid w:val="00810F09"/>
    <w:rsid w:val="0081129F"/>
    <w:rsid w:val="008112D5"/>
    <w:rsid w:val="008113AB"/>
    <w:rsid w:val="008115FB"/>
    <w:rsid w:val="00811661"/>
    <w:rsid w:val="00811669"/>
    <w:rsid w:val="008117BB"/>
    <w:rsid w:val="0081189F"/>
    <w:rsid w:val="008119E8"/>
    <w:rsid w:val="00811D76"/>
    <w:rsid w:val="00811DA5"/>
    <w:rsid w:val="00811DBE"/>
    <w:rsid w:val="0081225C"/>
    <w:rsid w:val="00812364"/>
    <w:rsid w:val="00812497"/>
    <w:rsid w:val="00812566"/>
    <w:rsid w:val="008128CC"/>
    <w:rsid w:val="00812AF2"/>
    <w:rsid w:val="00812BF2"/>
    <w:rsid w:val="00812DB0"/>
    <w:rsid w:val="00812E85"/>
    <w:rsid w:val="00812F2C"/>
    <w:rsid w:val="0081302B"/>
    <w:rsid w:val="0081305D"/>
    <w:rsid w:val="008130C6"/>
    <w:rsid w:val="008132A5"/>
    <w:rsid w:val="008132E7"/>
    <w:rsid w:val="0081372E"/>
    <w:rsid w:val="008138B4"/>
    <w:rsid w:val="00813C00"/>
    <w:rsid w:val="00813C6C"/>
    <w:rsid w:val="0081416F"/>
    <w:rsid w:val="00814184"/>
    <w:rsid w:val="00814A42"/>
    <w:rsid w:val="00814B72"/>
    <w:rsid w:val="0081539C"/>
    <w:rsid w:val="008153E3"/>
    <w:rsid w:val="00815555"/>
    <w:rsid w:val="00815563"/>
    <w:rsid w:val="008155A6"/>
    <w:rsid w:val="00815B0F"/>
    <w:rsid w:val="00815D31"/>
    <w:rsid w:val="00815F9B"/>
    <w:rsid w:val="00816249"/>
    <w:rsid w:val="00816410"/>
    <w:rsid w:val="0081652D"/>
    <w:rsid w:val="0081658C"/>
    <w:rsid w:val="00816823"/>
    <w:rsid w:val="00816963"/>
    <w:rsid w:val="00816B1B"/>
    <w:rsid w:val="00816C23"/>
    <w:rsid w:val="00816F47"/>
    <w:rsid w:val="0081712C"/>
    <w:rsid w:val="00817133"/>
    <w:rsid w:val="0081714A"/>
    <w:rsid w:val="008171E2"/>
    <w:rsid w:val="008172D1"/>
    <w:rsid w:val="008174BD"/>
    <w:rsid w:val="008177A8"/>
    <w:rsid w:val="008177AC"/>
    <w:rsid w:val="00817A7E"/>
    <w:rsid w:val="00817B7A"/>
    <w:rsid w:val="00817CAE"/>
    <w:rsid w:val="00820009"/>
    <w:rsid w:val="00820046"/>
    <w:rsid w:val="00820272"/>
    <w:rsid w:val="0082028C"/>
    <w:rsid w:val="008203E1"/>
    <w:rsid w:val="0082076C"/>
    <w:rsid w:val="00820823"/>
    <w:rsid w:val="00820A0E"/>
    <w:rsid w:val="00820A68"/>
    <w:rsid w:val="00820A92"/>
    <w:rsid w:val="00820DBB"/>
    <w:rsid w:val="00820FC5"/>
    <w:rsid w:val="008210CB"/>
    <w:rsid w:val="00821228"/>
    <w:rsid w:val="0082144F"/>
    <w:rsid w:val="008214AA"/>
    <w:rsid w:val="008219A7"/>
    <w:rsid w:val="00821D16"/>
    <w:rsid w:val="00821E77"/>
    <w:rsid w:val="0082213A"/>
    <w:rsid w:val="008221E1"/>
    <w:rsid w:val="008222E0"/>
    <w:rsid w:val="00822328"/>
    <w:rsid w:val="0082232B"/>
    <w:rsid w:val="00822387"/>
    <w:rsid w:val="00822473"/>
    <w:rsid w:val="008224B0"/>
    <w:rsid w:val="008228FE"/>
    <w:rsid w:val="008229BF"/>
    <w:rsid w:val="00822E25"/>
    <w:rsid w:val="00822E5F"/>
    <w:rsid w:val="00822F81"/>
    <w:rsid w:val="00822FD2"/>
    <w:rsid w:val="00823092"/>
    <w:rsid w:val="0082319F"/>
    <w:rsid w:val="008232EC"/>
    <w:rsid w:val="0082350F"/>
    <w:rsid w:val="008235D6"/>
    <w:rsid w:val="00823648"/>
    <w:rsid w:val="00823742"/>
    <w:rsid w:val="00823902"/>
    <w:rsid w:val="0082392B"/>
    <w:rsid w:val="00823A0E"/>
    <w:rsid w:val="00823B4A"/>
    <w:rsid w:val="00823F4E"/>
    <w:rsid w:val="0082404D"/>
    <w:rsid w:val="00824085"/>
    <w:rsid w:val="008241E2"/>
    <w:rsid w:val="00824314"/>
    <w:rsid w:val="00824402"/>
    <w:rsid w:val="00824649"/>
    <w:rsid w:val="00824F2F"/>
    <w:rsid w:val="008254B0"/>
    <w:rsid w:val="00825E20"/>
    <w:rsid w:val="008265E4"/>
    <w:rsid w:val="008269BA"/>
    <w:rsid w:val="00826A56"/>
    <w:rsid w:val="00826E27"/>
    <w:rsid w:val="00826F80"/>
    <w:rsid w:val="008273C5"/>
    <w:rsid w:val="008276AE"/>
    <w:rsid w:val="008276D4"/>
    <w:rsid w:val="008277EC"/>
    <w:rsid w:val="00827962"/>
    <w:rsid w:val="00827AFB"/>
    <w:rsid w:val="00827FDD"/>
    <w:rsid w:val="00828CD1"/>
    <w:rsid w:val="00830016"/>
    <w:rsid w:val="00830330"/>
    <w:rsid w:val="008304AA"/>
    <w:rsid w:val="00830958"/>
    <w:rsid w:val="00830B1C"/>
    <w:rsid w:val="00830C46"/>
    <w:rsid w:val="00830DD0"/>
    <w:rsid w:val="008312EA"/>
    <w:rsid w:val="00831315"/>
    <w:rsid w:val="00831331"/>
    <w:rsid w:val="00831632"/>
    <w:rsid w:val="00831736"/>
    <w:rsid w:val="00831739"/>
    <w:rsid w:val="00831740"/>
    <w:rsid w:val="00831962"/>
    <w:rsid w:val="00831A80"/>
    <w:rsid w:val="00831A9A"/>
    <w:rsid w:val="00831B7F"/>
    <w:rsid w:val="00831C2D"/>
    <w:rsid w:val="00831DD1"/>
    <w:rsid w:val="00831E9E"/>
    <w:rsid w:val="00832095"/>
    <w:rsid w:val="00832A00"/>
    <w:rsid w:val="00832A28"/>
    <w:rsid w:val="00832BE2"/>
    <w:rsid w:val="00832C67"/>
    <w:rsid w:val="00832C9F"/>
    <w:rsid w:val="00832D43"/>
    <w:rsid w:val="00833011"/>
    <w:rsid w:val="008332C9"/>
    <w:rsid w:val="00833488"/>
    <w:rsid w:val="00833771"/>
    <w:rsid w:val="0083384E"/>
    <w:rsid w:val="008338DA"/>
    <w:rsid w:val="0083393F"/>
    <w:rsid w:val="0083397E"/>
    <w:rsid w:val="00833AB8"/>
    <w:rsid w:val="00833AE8"/>
    <w:rsid w:val="00833C71"/>
    <w:rsid w:val="0083410D"/>
    <w:rsid w:val="008341CB"/>
    <w:rsid w:val="00834476"/>
    <w:rsid w:val="0083471C"/>
    <w:rsid w:val="008348C8"/>
    <w:rsid w:val="00834A15"/>
    <w:rsid w:val="00834A3D"/>
    <w:rsid w:val="00834E7D"/>
    <w:rsid w:val="00834E80"/>
    <w:rsid w:val="00835017"/>
    <w:rsid w:val="008355FE"/>
    <w:rsid w:val="008356EA"/>
    <w:rsid w:val="008356F1"/>
    <w:rsid w:val="00835712"/>
    <w:rsid w:val="00835837"/>
    <w:rsid w:val="00835A2D"/>
    <w:rsid w:val="00835B1F"/>
    <w:rsid w:val="00835CCC"/>
    <w:rsid w:val="00835CDE"/>
    <w:rsid w:val="00835FDF"/>
    <w:rsid w:val="0083656A"/>
    <w:rsid w:val="008366DA"/>
    <w:rsid w:val="008369E4"/>
    <w:rsid w:val="00836B8C"/>
    <w:rsid w:val="00836E59"/>
    <w:rsid w:val="00836F8B"/>
    <w:rsid w:val="0083702A"/>
    <w:rsid w:val="008371D9"/>
    <w:rsid w:val="00837843"/>
    <w:rsid w:val="0083794A"/>
    <w:rsid w:val="00837ABE"/>
    <w:rsid w:val="00837B06"/>
    <w:rsid w:val="00837B6C"/>
    <w:rsid w:val="008402DB"/>
    <w:rsid w:val="00840482"/>
    <w:rsid w:val="008404FA"/>
    <w:rsid w:val="00840567"/>
    <w:rsid w:val="00840746"/>
    <w:rsid w:val="00840C00"/>
    <w:rsid w:val="00840D0F"/>
    <w:rsid w:val="00840F08"/>
    <w:rsid w:val="00841074"/>
    <w:rsid w:val="00841171"/>
    <w:rsid w:val="008411C5"/>
    <w:rsid w:val="0084133D"/>
    <w:rsid w:val="0084155D"/>
    <w:rsid w:val="00841A22"/>
    <w:rsid w:val="00841B64"/>
    <w:rsid w:val="00841C2A"/>
    <w:rsid w:val="00841CCC"/>
    <w:rsid w:val="00841D0B"/>
    <w:rsid w:val="00841E19"/>
    <w:rsid w:val="00841E54"/>
    <w:rsid w:val="0084222E"/>
    <w:rsid w:val="008422E5"/>
    <w:rsid w:val="0084232E"/>
    <w:rsid w:val="008423DC"/>
    <w:rsid w:val="00842468"/>
    <w:rsid w:val="00842614"/>
    <w:rsid w:val="0084276A"/>
    <w:rsid w:val="00842C10"/>
    <w:rsid w:val="00842C12"/>
    <w:rsid w:val="00842F5C"/>
    <w:rsid w:val="00842F86"/>
    <w:rsid w:val="008430DF"/>
    <w:rsid w:val="0084314A"/>
    <w:rsid w:val="00843275"/>
    <w:rsid w:val="0084353D"/>
    <w:rsid w:val="00843755"/>
    <w:rsid w:val="00843C85"/>
    <w:rsid w:val="00843DC3"/>
    <w:rsid w:val="00843DFE"/>
    <w:rsid w:val="00844004"/>
    <w:rsid w:val="00844096"/>
    <w:rsid w:val="008441AD"/>
    <w:rsid w:val="008444FB"/>
    <w:rsid w:val="008445D5"/>
    <w:rsid w:val="008447FE"/>
    <w:rsid w:val="00844A29"/>
    <w:rsid w:val="00844AAE"/>
    <w:rsid w:val="00844E4F"/>
    <w:rsid w:val="0084517E"/>
    <w:rsid w:val="008452D3"/>
    <w:rsid w:val="0084587A"/>
    <w:rsid w:val="00845ACF"/>
    <w:rsid w:val="00845AD8"/>
    <w:rsid w:val="00845CB0"/>
    <w:rsid w:val="00845CC6"/>
    <w:rsid w:val="00846033"/>
    <w:rsid w:val="008462DE"/>
    <w:rsid w:val="00846365"/>
    <w:rsid w:val="008463A2"/>
    <w:rsid w:val="00846712"/>
    <w:rsid w:val="00846EA7"/>
    <w:rsid w:val="00847157"/>
    <w:rsid w:val="00847260"/>
    <w:rsid w:val="0084749A"/>
    <w:rsid w:val="00847657"/>
    <w:rsid w:val="00847847"/>
    <w:rsid w:val="0084786C"/>
    <w:rsid w:val="008479DD"/>
    <w:rsid w:val="00850042"/>
    <w:rsid w:val="00850351"/>
    <w:rsid w:val="00850461"/>
    <w:rsid w:val="008504D8"/>
    <w:rsid w:val="0085054F"/>
    <w:rsid w:val="008509C7"/>
    <w:rsid w:val="008509EA"/>
    <w:rsid w:val="00850BC9"/>
    <w:rsid w:val="00850F56"/>
    <w:rsid w:val="00850FE9"/>
    <w:rsid w:val="008510AD"/>
    <w:rsid w:val="00851609"/>
    <w:rsid w:val="008517A5"/>
    <w:rsid w:val="00851ABE"/>
    <w:rsid w:val="00851B0C"/>
    <w:rsid w:val="00851CE6"/>
    <w:rsid w:val="00851E57"/>
    <w:rsid w:val="008521C2"/>
    <w:rsid w:val="00852271"/>
    <w:rsid w:val="008525AB"/>
    <w:rsid w:val="00852647"/>
    <w:rsid w:val="008526E4"/>
    <w:rsid w:val="00852970"/>
    <w:rsid w:val="00852B16"/>
    <w:rsid w:val="00852C0C"/>
    <w:rsid w:val="00852E2D"/>
    <w:rsid w:val="00852F31"/>
    <w:rsid w:val="0085300C"/>
    <w:rsid w:val="00853129"/>
    <w:rsid w:val="00853248"/>
    <w:rsid w:val="00853363"/>
    <w:rsid w:val="008533AA"/>
    <w:rsid w:val="008538EF"/>
    <w:rsid w:val="00853A64"/>
    <w:rsid w:val="00853D0B"/>
    <w:rsid w:val="00853E38"/>
    <w:rsid w:val="00853EF0"/>
    <w:rsid w:val="00854013"/>
    <w:rsid w:val="008540FB"/>
    <w:rsid w:val="0085470A"/>
    <w:rsid w:val="00854799"/>
    <w:rsid w:val="008548EF"/>
    <w:rsid w:val="00854AE5"/>
    <w:rsid w:val="00854E44"/>
    <w:rsid w:val="0085541F"/>
    <w:rsid w:val="0085544E"/>
    <w:rsid w:val="008554B8"/>
    <w:rsid w:val="008555BD"/>
    <w:rsid w:val="008557B0"/>
    <w:rsid w:val="0085589F"/>
    <w:rsid w:val="0085598E"/>
    <w:rsid w:val="008559FD"/>
    <w:rsid w:val="00855A9D"/>
    <w:rsid w:val="00855BEB"/>
    <w:rsid w:val="00855E40"/>
    <w:rsid w:val="008564A7"/>
    <w:rsid w:val="00856690"/>
    <w:rsid w:val="00856800"/>
    <w:rsid w:val="0085682E"/>
    <w:rsid w:val="00856884"/>
    <w:rsid w:val="00856D7B"/>
    <w:rsid w:val="00856ED3"/>
    <w:rsid w:val="00856F2B"/>
    <w:rsid w:val="00856FE7"/>
    <w:rsid w:val="0085708E"/>
    <w:rsid w:val="0085719B"/>
    <w:rsid w:val="008571E6"/>
    <w:rsid w:val="008573B6"/>
    <w:rsid w:val="008573F6"/>
    <w:rsid w:val="00857436"/>
    <w:rsid w:val="00857479"/>
    <w:rsid w:val="00857531"/>
    <w:rsid w:val="00857654"/>
    <w:rsid w:val="00857A3E"/>
    <w:rsid w:val="00857BBC"/>
    <w:rsid w:val="00857C76"/>
    <w:rsid w:val="00857DDB"/>
    <w:rsid w:val="00857EB8"/>
    <w:rsid w:val="0086007E"/>
    <w:rsid w:val="00860143"/>
    <w:rsid w:val="0086077F"/>
    <w:rsid w:val="0086078A"/>
    <w:rsid w:val="0086096A"/>
    <w:rsid w:val="00860A6F"/>
    <w:rsid w:val="00860C43"/>
    <w:rsid w:val="00860C70"/>
    <w:rsid w:val="00860CB5"/>
    <w:rsid w:val="00860E38"/>
    <w:rsid w:val="00860E3A"/>
    <w:rsid w:val="00860EED"/>
    <w:rsid w:val="00861305"/>
    <w:rsid w:val="008613AE"/>
    <w:rsid w:val="00861548"/>
    <w:rsid w:val="008616BD"/>
    <w:rsid w:val="00861B68"/>
    <w:rsid w:val="00861D41"/>
    <w:rsid w:val="00861E8D"/>
    <w:rsid w:val="00862293"/>
    <w:rsid w:val="00862296"/>
    <w:rsid w:val="008625EE"/>
    <w:rsid w:val="00862756"/>
    <w:rsid w:val="00862AA4"/>
    <w:rsid w:val="00862C4F"/>
    <w:rsid w:val="0086300F"/>
    <w:rsid w:val="0086325E"/>
    <w:rsid w:val="0086359E"/>
    <w:rsid w:val="00863846"/>
    <w:rsid w:val="008638B9"/>
    <w:rsid w:val="00863B35"/>
    <w:rsid w:val="00863C4D"/>
    <w:rsid w:val="00863CCE"/>
    <w:rsid w:val="00863D69"/>
    <w:rsid w:val="00863E85"/>
    <w:rsid w:val="00863F93"/>
    <w:rsid w:val="00864168"/>
    <w:rsid w:val="00864325"/>
    <w:rsid w:val="0086463E"/>
    <w:rsid w:val="00864711"/>
    <w:rsid w:val="008647CB"/>
    <w:rsid w:val="0086487D"/>
    <w:rsid w:val="008648E9"/>
    <w:rsid w:val="0086491D"/>
    <w:rsid w:val="00864BB2"/>
    <w:rsid w:val="00864DB9"/>
    <w:rsid w:val="00864EB6"/>
    <w:rsid w:val="00865002"/>
    <w:rsid w:val="00865577"/>
    <w:rsid w:val="00865673"/>
    <w:rsid w:val="008656A4"/>
    <w:rsid w:val="008656EC"/>
    <w:rsid w:val="0086588E"/>
    <w:rsid w:val="00865A90"/>
    <w:rsid w:val="00865B46"/>
    <w:rsid w:val="00865F10"/>
    <w:rsid w:val="00865F49"/>
    <w:rsid w:val="00866145"/>
    <w:rsid w:val="008662E7"/>
    <w:rsid w:val="0086641B"/>
    <w:rsid w:val="00866476"/>
    <w:rsid w:val="0086647E"/>
    <w:rsid w:val="00866483"/>
    <w:rsid w:val="008669DD"/>
    <w:rsid w:val="00866A64"/>
    <w:rsid w:val="00866A85"/>
    <w:rsid w:val="00866B57"/>
    <w:rsid w:val="00866C7A"/>
    <w:rsid w:val="008671CA"/>
    <w:rsid w:val="00867210"/>
    <w:rsid w:val="008678CA"/>
    <w:rsid w:val="00867941"/>
    <w:rsid w:val="00867B88"/>
    <w:rsid w:val="00867BFC"/>
    <w:rsid w:val="00867EF9"/>
    <w:rsid w:val="0087012E"/>
    <w:rsid w:val="008703A9"/>
    <w:rsid w:val="008705C4"/>
    <w:rsid w:val="00870733"/>
    <w:rsid w:val="00870A1B"/>
    <w:rsid w:val="00870ABB"/>
    <w:rsid w:val="00870B09"/>
    <w:rsid w:val="00870BCD"/>
    <w:rsid w:val="00870F8A"/>
    <w:rsid w:val="0087125D"/>
    <w:rsid w:val="00871275"/>
    <w:rsid w:val="00871473"/>
    <w:rsid w:val="008715DA"/>
    <w:rsid w:val="0087176F"/>
    <w:rsid w:val="0087185C"/>
    <w:rsid w:val="00871CBB"/>
    <w:rsid w:val="00871F23"/>
    <w:rsid w:val="00871F31"/>
    <w:rsid w:val="00872007"/>
    <w:rsid w:val="0087226B"/>
    <w:rsid w:val="00872334"/>
    <w:rsid w:val="008723D2"/>
    <w:rsid w:val="008728A4"/>
    <w:rsid w:val="008728E8"/>
    <w:rsid w:val="00872C28"/>
    <w:rsid w:val="00872DE7"/>
    <w:rsid w:val="00872E73"/>
    <w:rsid w:val="00873065"/>
    <w:rsid w:val="00873176"/>
    <w:rsid w:val="00873230"/>
    <w:rsid w:val="00873279"/>
    <w:rsid w:val="008732B0"/>
    <w:rsid w:val="00873471"/>
    <w:rsid w:val="00873498"/>
    <w:rsid w:val="008734A9"/>
    <w:rsid w:val="0087351F"/>
    <w:rsid w:val="008736A9"/>
    <w:rsid w:val="008736D6"/>
    <w:rsid w:val="0087387D"/>
    <w:rsid w:val="00873C32"/>
    <w:rsid w:val="00873CC9"/>
    <w:rsid w:val="00873DEC"/>
    <w:rsid w:val="00873F7D"/>
    <w:rsid w:val="008744EC"/>
    <w:rsid w:val="00874724"/>
    <w:rsid w:val="00874885"/>
    <w:rsid w:val="00874A0F"/>
    <w:rsid w:val="00874B4B"/>
    <w:rsid w:val="00874DC5"/>
    <w:rsid w:val="00874EB2"/>
    <w:rsid w:val="00875080"/>
    <w:rsid w:val="0087542D"/>
    <w:rsid w:val="00875461"/>
    <w:rsid w:val="008754D9"/>
    <w:rsid w:val="00875882"/>
    <w:rsid w:val="00875C70"/>
    <w:rsid w:val="00875EBC"/>
    <w:rsid w:val="00875F09"/>
    <w:rsid w:val="00875F13"/>
    <w:rsid w:val="00875FB9"/>
    <w:rsid w:val="008760A1"/>
    <w:rsid w:val="00876114"/>
    <w:rsid w:val="0087618F"/>
    <w:rsid w:val="00876589"/>
    <w:rsid w:val="00876645"/>
    <w:rsid w:val="00876842"/>
    <w:rsid w:val="0087684A"/>
    <w:rsid w:val="00876944"/>
    <w:rsid w:val="00876A5D"/>
    <w:rsid w:val="00876B98"/>
    <w:rsid w:val="00876C17"/>
    <w:rsid w:val="008770AE"/>
    <w:rsid w:val="0087719E"/>
    <w:rsid w:val="00877217"/>
    <w:rsid w:val="0087760C"/>
    <w:rsid w:val="00877896"/>
    <w:rsid w:val="00877942"/>
    <w:rsid w:val="00877A92"/>
    <w:rsid w:val="00877BD0"/>
    <w:rsid w:val="00877CF9"/>
    <w:rsid w:val="00877DC7"/>
    <w:rsid w:val="008801F3"/>
    <w:rsid w:val="0088023D"/>
    <w:rsid w:val="00880362"/>
    <w:rsid w:val="008803DC"/>
    <w:rsid w:val="00880A25"/>
    <w:rsid w:val="00880BA1"/>
    <w:rsid w:val="00880DCA"/>
    <w:rsid w:val="0088101E"/>
    <w:rsid w:val="008810C5"/>
    <w:rsid w:val="008813E7"/>
    <w:rsid w:val="008814CB"/>
    <w:rsid w:val="0088168A"/>
    <w:rsid w:val="008816E1"/>
    <w:rsid w:val="008817DA"/>
    <w:rsid w:val="00881BBD"/>
    <w:rsid w:val="00881E7E"/>
    <w:rsid w:val="00881EAF"/>
    <w:rsid w:val="00882024"/>
    <w:rsid w:val="0088217B"/>
    <w:rsid w:val="00882198"/>
    <w:rsid w:val="008824B2"/>
    <w:rsid w:val="00882557"/>
    <w:rsid w:val="0088261E"/>
    <w:rsid w:val="008826B6"/>
    <w:rsid w:val="0088292B"/>
    <w:rsid w:val="008829B2"/>
    <w:rsid w:val="00882B73"/>
    <w:rsid w:val="00882BED"/>
    <w:rsid w:val="00882CCA"/>
    <w:rsid w:val="00882D25"/>
    <w:rsid w:val="00882D63"/>
    <w:rsid w:val="00882E61"/>
    <w:rsid w:val="008831B8"/>
    <w:rsid w:val="00883274"/>
    <w:rsid w:val="00883325"/>
    <w:rsid w:val="00883478"/>
    <w:rsid w:val="008834CB"/>
    <w:rsid w:val="00883594"/>
    <w:rsid w:val="00883623"/>
    <w:rsid w:val="00883885"/>
    <w:rsid w:val="00883EA6"/>
    <w:rsid w:val="008843BA"/>
    <w:rsid w:val="008845D2"/>
    <w:rsid w:val="0088464F"/>
    <w:rsid w:val="008849C3"/>
    <w:rsid w:val="00884ADA"/>
    <w:rsid w:val="00884BB4"/>
    <w:rsid w:val="00884C62"/>
    <w:rsid w:val="00884C81"/>
    <w:rsid w:val="00884E1D"/>
    <w:rsid w:val="00884F3F"/>
    <w:rsid w:val="00885055"/>
    <w:rsid w:val="008852DA"/>
    <w:rsid w:val="00885353"/>
    <w:rsid w:val="008853F8"/>
    <w:rsid w:val="00885649"/>
    <w:rsid w:val="008856F9"/>
    <w:rsid w:val="00885A26"/>
    <w:rsid w:val="00885CB6"/>
    <w:rsid w:val="00885DDD"/>
    <w:rsid w:val="00885DEE"/>
    <w:rsid w:val="00885DF7"/>
    <w:rsid w:val="00886044"/>
    <w:rsid w:val="008864BB"/>
    <w:rsid w:val="0088650D"/>
    <w:rsid w:val="00886707"/>
    <w:rsid w:val="008868D6"/>
    <w:rsid w:val="00886A9A"/>
    <w:rsid w:val="00887081"/>
    <w:rsid w:val="008874C4"/>
    <w:rsid w:val="008876D9"/>
    <w:rsid w:val="00887B54"/>
    <w:rsid w:val="00887BE3"/>
    <w:rsid w:val="0089020F"/>
    <w:rsid w:val="00890280"/>
    <w:rsid w:val="0089028B"/>
    <w:rsid w:val="00890524"/>
    <w:rsid w:val="008906C1"/>
    <w:rsid w:val="00890972"/>
    <w:rsid w:val="00890C49"/>
    <w:rsid w:val="00891601"/>
    <w:rsid w:val="00891F35"/>
    <w:rsid w:val="00891F3E"/>
    <w:rsid w:val="0089260D"/>
    <w:rsid w:val="00892655"/>
    <w:rsid w:val="00892A3B"/>
    <w:rsid w:val="00892A51"/>
    <w:rsid w:val="00892C50"/>
    <w:rsid w:val="00892CA5"/>
    <w:rsid w:val="00892CEC"/>
    <w:rsid w:val="00892D8A"/>
    <w:rsid w:val="00892EEF"/>
    <w:rsid w:val="008931F7"/>
    <w:rsid w:val="008933DD"/>
    <w:rsid w:val="008934D7"/>
    <w:rsid w:val="00893994"/>
    <w:rsid w:val="008939AD"/>
    <w:rsid w:val="00893BCA"/>
    <w:rsid w:val="00893E13"/>
    <w:rsid w:val="00893FA3"/>
    <w:rsid w:val="00894007"/>
    <w:rsid w:val="00894094"/>
    <w:rsid w:val="0089469F"/>
    <w:rsid w:val="00894708"/>
    <w:rsid w:val="008947AB"/>
    <w:rsid w:val="008947B7"/>
    <w:rsid w:val="008948FD"/>
    <w:rsid w:val="0089495B"/>
    <w:rsid w:val="00894CC5"/>
    <w:rsid w:val="008953EB"/>
    <w:rsid w:val="0089587D"/>
    <w:rsid w:val="00895EC3"/>
    <w:rsid w:val="00895EFA"/>
    <w:rsid w:val="00895F3B"/>
    <w:rsid w:val="00895FAD"/>
    <w:rsid w:val="008960A0"/>
    <w:rsid w:val="008960CB"/>
    <w:rsid w:val="008960E6"/>
    <w:rsid w:val="008965A5"/>
    <w:rsid w:val="008967D1"/>
    <w:rsid w:val="00896E81"/>
    <w:rsid w:val="00896F3F"/>
    <w:rsid w:val="00897B47"/>
    <w:rsid w:val="00897CC3"/>
    <w:rsid w:val="00897D93"/>
    <w:rsid w:val="00897E93"/>
    <w:rsid w:val="008A00D5"/>
    <w:rsid w:val="008A00E3"/>
    <w:rsid w:val="008A01C2"/>
    <w:rsid w:val="008A02CD"/>
    <w:rsid w:val="008A0417"/>
    <w:rsid w:val="008A0AE1"/>
    <w:rsid w:val="008A0B4B"/>
    <w:rsid w:val="008A0B8E"/>
    <w:rsid w:val="008A0C34"/>
    <w:rsid w:val="008A0D6D"/>
    <w:rsid w:val="008A0DBC"/>
    <w:rsid w:val="008A0DC9"/>
    <w:rsid w:val="008A0DD8"/>
    <w:rsid w:val="008A0DE3"/>
    <w:rsid w:val="008A0EC6"/>
    <w:rsid w:val="008A0EC9"/>
    <w:rsid w:val="008A1257"/>
    <w:rsid w:val="008A1269"/>
    <w:rsid w:val="008A170C"/>
    <w:rsid w:val="008A1B30"/>
    <w:rsid w:val="008A1CDB"/>
    <w:rsid w:val="008A2054"/>
    <w:rsid w:val="008A21AA"/>
    <w:rsid w:val="008A2368"/>
    <w:rsid w:val="008A23F2"/>
    <w:rsid w:val="008A267B"/>
    <w:rsid w:val="008A26FA"/>
    <w:rsid w:val="008A2718"/>
    <w:rsid w:val="008A2A7D"/>
    <w:rsid w:val="008A3104"/>
    <w:rsid w:val="008A3123"/>
    <w:rsid w:val="008A320F"/>
    <w:rsid w:val="008A3584"/>
    <w:rsid w:val="008A35A2"/>
    <w:rsid w:val="008A35C4"/>
    <w:rsid w:val="008A35F7"/>
    <w:rsid w:val="008A365E"/>
    <w:rsid w:val="008A385C"/>
    <w:rsid w:val="008A387B"/>
    <w:rsid w:val="008A38AD"/>
    <w:rsid w:val="008A3AFE"/>
    <w:rsid w:val="008A3B22"/>
    <w:rsid w:val="008A3B57"/>
    <w:rsid w:val="008A3D2D"/>
    <w:rsid w:val="008A3FBA"/>
    <w:rsid w:val="008A454B"/>
    <w:rsid w:val="008A469A"/>
    <w:rsid w:val="008A47A9"/>
    <w:rsid w:val="008A48F5"/>
    <w:rsid w:val="008A4BAA"/>
    <w:rsid w:val="008A4EDB"/>
    <w:rsid w:val="008A546C"/>
    <w:rsid w:val="008A5571"/>
    <w:rsid w:val="008A5624"/>
    <w:rsid w:val="008A581B"/>
    <w:rsid w:val="008A5C8E"/>
    <w:rsid w:val="008A5CAB"/>
    <w:rsid w:val="008A6107"/>
    <w:rsid w:val="008A613F"/>
    <w:rsid w:val="008A63EF"/>
    <w:rsid w:val="008A676E"/>
    <w:rsid w:val="008A6912"/>
    <w:rsid w:val="008A6934"/>
    <w:rsid w:val="008A6A32"/>
    <w:rsid w:val="008A6A4A"/>
    <w:rsid w:val="008A6D30"/>
    <w:rsid w:val="008A6F67"/>
    <w:rsid w:val="008A6F97"/>
    <w:rsid w:val="008A71A5"/>
    <w:rsid w:val="008A71AE"/>
    <w:rsid w:val="008A7339"/>
    <w:rsid w:val="008A73C2"/>
    <w:rsid w:val="008A74FB"/>
    <w:rsid w:val="008A77DD"/>
    <w:rsid w:val="008A77E5"/>
    <w:rsid w:val="008A786C"/>
    <w:rsid w:val="008B012C"/>
    <w:rsid w:val="008B02B6"/>
    <w:rsid w:val="008B03C3"/>
    <w:rsid w:val="008B05D8"/>
    <w:rsid w:val="008B0B87"/>
    <w:rsid w:val="008B0DEC"/>
    <w:rsid w:val="008B0EAD"/>
    <w:rsid w:val="008B0EE4"/>
    <w:rsid w:val="008B10EA"/>
    <w:rsid w:val="008B1120"/>
    <w:rsid w:val="008B11C1"/>
    <w:rsid w:val="008B12B2"/>
    <w:rsid w:val="008B1500"/>
    <w:rsid w:val="008B16E6"/>
    <w:rsid w:val="008B1743"/>
    <w:rsid w:val="008B1ABB"/>
    <w:rsid w:val="008B1AC4"/>
    <w:rsid w:val="008B1CF2"/>
    <w:rsid w:val="008B224F"/>
    <w:rsid w:val="008B22B2"/>
    <w:rsid w:val="008B231F"/>
    <w:rsid w:val="008B23A6"/>
    <w:rsid w:val="008B2696"/>
    <w:rsid w:val="008B2719"/>
    <w:rsid w:val="008B286E"/>
    <w:rsid w:val="008B3041"/>
    <w:rsid w:val="008B311C"/>
    <w:rsid w:val="008B331B"/>
    <w:rsid w:val="008B345E"/>
    <w:rsid w:val="008B3560"/>
    <w:rsid w:val="008B3969"/>
    <w:rsid w:val="008B3B81"/>
    <w:rsid w:val="008B3E69"/>
    <w:rsid w:val="008B41BC"/>
    <w:rsid w:val="008B41EA"/>
    <w:rsid w:val="008B432B"/>
    <w:rsid w:val="008B4396"/>
    <w:rsid w:val="008B44FE"/>
    <w:rsid w:val="008B4700"/>
    <w:rsid w:val="008B49B4"/>
    <w:rsid w:val="008B4C30"/>
    <w:rsid w:val="008B4F2C"/>
    <w:rsid w:val="008B5103"/>
    <w:rsid w:val="008B52A1"/>
    <w:rsid w:val="008B5328"/>
    <w:rsid w:val="008B533E"/>
    <w:rsid w:val="008B536D"/>
    <w:rsid w:val="008B539B"/>
    <w:rsid w:val="008B53FE"/>
    <w:rsid w:val="008B540B"/>
    <w:rsid w:val="008B5572"/>
    <w:rsid w:val="008B5781"/>
    <w:rsid w:val="008B580D"/>
    <w:rsid w:val="008B5ACE"/>
    <w:rsid w:val="008B5C06"/>
    <w:rsid w:val="008B5F71"/>
    <w:rsid w:val="008B607C"/>
    <w:rsid w:val="008B6590"/>
    <w:rsid w:val="008B66BF"/>
    <w:rsid w:val="008B6895"/>
    <w:rsid w:val="008B693B"/>
    <w:rsid w:val="008B6A02"/>
    <w:rsid w:val="008B6B19"/>
    <w:rsid w:val="008B6DBD"/>
    <w:rsid w:val="008B6E39"/>
    <w:rsid w:val="008B6EBB"/>
    <w:rsid w:val="008B6FBE"/>
    <w:rsid w:val="008B6FFE"/>
    <w:rsid w:val="008B7010"/>
    <w:rsid w:val="008B745C"/>
    <w:rsid w:val="008B7540"/>
    <w:rsid w:val="008B75AD"/>
    <w:rsid w:val="008B78BC"/>
    <w:rsid w:val="008B7C5D"/>
    <w:rsid w:val="008B7E4E"/>
    <w:rsid w:val="008B7FCB"/>
    <w:rsid w:val="008C003B"/>
    <w:rsid w:val="008C0486"/>
    <w:rsid w:val="008C05C0"/>
    <w:rsid w:val="008C0F47"/>
    <w:rsid w:val="008C1189"/>
    <w:rsid w:val="008C11E5"/>
    <w:rsid w:val="008C12F2"/>
    <w:rsid w:val="008C1596"/>
    <w:rsid w:val="008C1960"/>
    <w:rsid w:val="008C1BF9"/>
    <w:rsid w:val="008C1EAE"/>
    <w:rsid w:val="008C21FC"/>
    <w:rsid w:val="008C255E"/>
    <w:rsid w:val="008C2793"/>
    <w:rsid w:val="008C28CF"/>
    <w:rsid w:val="008C2B2F"/>
    <w:rsid w:val="008C2B44"/>
    <w:rsid w:val="008C2CC2"/>
    <w:rsid w:val="008C2E67"/>
    <w:rsid w:val="008C2EFA"/>
    <w:rsid w:val="008C2F06"/>
    <w:rsid w:val="008C2F4D"/>
    <w:rsid w:val="008C333B"/>
    <w:rsid w:val="008C33BB"/>
    <w:rsid w:val="008C3797"/>
    <w:rsid w:val="008C39BF"/>
    <w:rsid w:val="008C3B23"/>
    <w:rsid w:val="008C3E6E"/>
    <w:rsid w:val="008C3ED7"/>
    <w:rsid w:val="008C3F26"/>
    <w:rsid w:val="008C3F2D"/>
    <w:rsid w:val="008C423C"/>
    <w:rsid w:val="008C42A6"/>
    <w:rsid w:val="008C4457"/>
    <w:rsid w:val="008C446B"/>
    <w:rsid w:val="008C44A1"/>
    <w:rsid w:val="008C47CC"/>
    <w:rsid w:val="008C483F"/>
    <w:rsid w:val="008C48FF"/>
    <w:rsid w:val="008C4954"/>
    <w:rsid w:val="008C498A"/>
    <w:rsid w:val="008C49FC"/>
    <w:rsid w:val="008C4A30"/>
    <w:rsid w:val="008C4D6A"/>
    <w:rsid w:val="008C509F"/>
    <w:rsid w:val="008C515F"/>
    <w:rsid w:val="008C51FA"/>
    <w:rsid w:val="008C53F9"/>
    <w:rsid w:val="008C548B"/>
    <w:rsid w:val="008C5552"/>
    <w:rsid w:val="008C55BA"/>
    <w:rsid w:val="008C5A01"/>
    <w:rsid w:val="008C5E3D"/>
    <w:rsid w:val="008C6247"/>
    <w:rsid w:val="008C62B9"/>
    <w:rsid w:val="008C666F"/>
    <w:rsid w:val="008C6748"/>
    <w:rsid w:val="008C697A"/>
    <w:rsid w:val="008C6C1E"/>
    <w:rsid w:val="008C6D1D"/>
    <w:rsid w:val="008C6DA2"/>
    <w:rsid w:val="008C6F42"/>
    <w:rsid w:val="008C6FAF"/>
    <w:rsid w:val="008C7363"/>
    <w:rsid w:val="008C74F7"/>
    <w:rsid w:val="008C7697"/>
    <w:rsid w:val="008C7835"/>
    <w:rsid w:val="008C790B"/>
    <w:rsid w:val="008C7B1C"/>
    <w:rsid w:val="008C7B36"/>
    <w:rsid w:val="008C7FBA"/>
    <w:rsid w:val="008C7FE7"/>
    <w:rsid w:val="008D00C5"/>
    <w:rsid w:val="008D0101"/>
    <w:rsid w:val="008D037B"/>
    <w:rsid w:val="008D0609"/>
    <w:rsid w:val="008D07BC"/>
    <w:rsid w:val="008D0885"/>
    <w:rsid w:val="008D09E7"/>
    <w:rsid w:val="008D0A20"/>
    <w:rsid w:val="008D0AF4"/>
    <w:rsid w:val="008D0C7E"/>
    <w:rsid w:val="008D0F2C"/>
    <w:rsid w:val="008D11E4"/>
    <w:rsid w:val="008D16D1"/>
    <w:rsid w:val="008D1739"/>
    <w:rsid w:val="008D17EA"/>
    <w:rsid w:val="008D188D"/>
    <w:rsid w:val="008D19A0"/>
    <w:rsid w:val="008D19DE"/>
    <w:rsid w:val="008D1BC8"/>
    <w:rsid w:val="008D1D13"/>
    <w:rsid w:val="008D1EEA"/>
    <w:rsid w:val="008D1F20"/>
    <w:rsid w:val="008D2067"/>
    <w:rsid w:val="008D2135"/>
    <w:rsid w:val="008D216A"/>
    <w:rsid w:val="008D2180"/>
    <w:rsid w:val="008D23D4"/>
    <w:rsid w:val="008D241C"/>
    <w:rsid w:val="008D2522"/>
    <w:rsid w:val="008D2533"/>
    <w:rsid w:val="008D256E"/>
    <w:rsid w:val="008D28F0"/>
    <w:rsid w:val="008D29E7"/>
    <w:rsid w:val="008D2B4F"/>
    <w:rsid w:val="008D2C8A"/>
    <w:rsid w:val="008D2DE6"/>
    <w:rsid w:val="008D3141"/>
    <w:rsid w:val="008D314B"/>
    <w:rsid w:val="008D337B"/>
    <w:rsid w:val="008D363C"/>
    <w:rsid w:val="008D37E9"/>
    <w:rsid w:val="008D3904"/>
    <w:rsid w:val="008D3A8E"/>
    <w:rsid w:val="008D3C3C"/>
    <w:rsid w:val="008D3E0E"/>
    <w:rsid w:val="008D3E42"/>
    <w:rsid w:val="008D3E7F"/>
    <w:rsid w:val="008D4071"/>
    <w:rsid w:val="008D4115"/>
    <w:rsid w:val="008D4182"/>
    <w:rsid w:val="008D436D"/>
    <w:rsid w:val="008D439B"/>
    <w:rsid w:val="008D44D7"/>
    <w:rsid w:val="008D4733"/>
    <w:rsid w:val="008D4775"/>
    <w:rsid w:val="008D4AD3"/>
    <w:rsid w:val="008D4BA9"/>
    <w:rsid w:val="008D4C41"/>
    <w:rsid w:val="008D4D15"/>
    <w:rsid w:val="008D5293"/>
    <w:rsid w:val="008D5441"/>
    <w:rsid w:val="008D54F4"/>
    <w:rsid w:val="008D57D5"/>
    <w:rsid w:val="008D5909"/>
    <w:rsid w:val="008D5A18"/>
    <w:rsid w:val="008D5A2A"/>
    <w:rsid w:val="008D5A97"/>
    <w:rsid w:val="008D5D8B"/>
    <w:rsid w:val="008D5FDF"/>
    <w:rsid w:val="008D6122"/>
    <w:rsid w:val="008D661D"/>
    <w:rsid w:val="008D683F"/>
    <w:rsid w:val="008D6A23"/>
    <w:rsid w:val="008D6C6B"/>
    <w:rsid w:val="008D6E82"/>
    <w:rsid w:val="008D724A"/>
    <w:rsid w:val="008D734C"/>
    <w:rsid w:val="008D7454"/>
    <w:rsid w:val="008D78E3"/>
    <w:rsid w:val="008D7A12"/>
    <w:rsid w:val="008D7C6E"/>
    <w:rsid w:val="008E013C"/>
    <w:rsid w:val="008E0353"/>
    <w:rsid w:val="008E0691"/>
    <w:rsid w:val="008E07DA"/>
    <w:rsid w:val="008E0C9E"/>
    <w:rsid w:val="008E0FE3"/>
    <w:rsid w:val="008E1054"/>
    <w:rsid w:val="008E15E6"/>
    <w:rsid w:val="008E1625"/>
    <w:rsid w:val="008E1660"/>
    <w:rsid w:val="008E1A3D"/>
    <w:rsid w:val="008E1C64"/>
    <w:rsid w:val="008E2017"/>
    <w:rsid w:val="008E22E7"/>
    <w:rsid w:val="008E2377"/>
    <w:rsid w:val="008E26EE"/>
    <w:rsid w:val="008E2B2A"/>
    <w:rsid w:val="008E2BEE"/>
    <w:rsid w:val="008E2DA0"/>
    <w:rsid w:val="008E2EDA"/>
    <w:rsid w:val="008E3173"/>
    <w:rsid w:val="008E317D"/>
    <w:rsid w:val="008E3246"/>
    <w:rsid w:val="008E33C5"/>
    <w:rsid w:val="008E34BB"/>
    <w:rsid w:val="008E3585"/>
    <w:rsid w:val="008E3905"/>
    <w:rsid w:val="008E41BB"/>
    <w:rsid w:val="008E42FE"/>
    <w:rsid w:val="008E436D"/>
    <w:rsid w:val="008E4A31"/>
    <w:rsid w:val="008E4B4B"/>
    <w:rsid w:val="008E502F"/>
    <w:rsid w:val="008E5090"/>
    <w:rsid w:val="008E52FA"/>
    <w:rsid w:val="008E561E"/>
    <w:rsid w:val="008E563A"/>
    <w:rsid w:val="008E5ABE"/>
    <w:rsid w:val="008E5E23"/>
    <w:rsid w:val="008E636B"/>
    <w:rsid w:val="008E64EB"/>
    <w:rsid w:val="008E64F3"/>
    <w:rsid w:val="008E6535"/>
    <w:rsid w:val="008E6537"/>
    <w:rsid w:val="008E65CE"/>
    <w:rsid w:val="008E6606"/>
    <w:rsid w:val="008E670D"/>
    <w:rsid w:val="008E693B"/>
    <w:rsid w:val="008E6C37"/>
    <w:rsid w:val="008E6CD4"/>
    <w:rsid w:val="008E7166"/>
    <w:rsid w:val="008E71C4"/>
    <w:rsid w:val="008E72F7"/>
    <w:rsid w:val="008E73AA"/>
    <w:rsid w:val="008E7777"/>
    <w:rsid w:val="008E7921"/>
    <w:rsid w:val="008E7937"/>
    <w:rsid w:val="008E7960"/>
    <w:rsid w:val="008E79FC"/>
    <w:rsid w:val="008E7BD4"/>
    <w:rsid w:val="008E7C0D"/>
    <w:rsid w:val="008F0059"/>
    <w:rsid w:val="008F00D3"/>
    <w:rsid w:val="008F00F5"/>
    <w:rsid w:val="008F0424"/>
    <w:rsid w:val="008F0539"/>
    <w:rsid w:val="008F075B"/>
    <w:rsid w:val="008F0E39"/>
    <w:rsid w:val="008F0F07"/>
    <w:rsid w:val="008F0F1F"/>
    <w:rsid w:val="008F10A7"/>
    <w:rsid w:val="008F1141"/>
    <w:rsid w:val="008F12E7"/>
    <w:rsid w:val="008F1437"/>
    <w:rsid w:val="008F15F2"/>
    <w:rsid w:val="008F165C"/>
    <w:rsid w:val="008F17DA"/>
    <w:rsid w:val="008F1CB2"/>
    <w:rsid w:val="008F1EE7"/>
    <w:rsid w:val="008F1FB1"/>
    <w:rsid w:val="008F1FB6"/>
    <w:rsid w:val="008F2031"/>
    <w:rsid w:val="008F254C"/>
    <w:rsid w:val="008F27C1"/>
    <w:rsid w:val="008F29B8"/>
    <w:rsid w:val="008F2F2A"/>
    <w:rsid w:val="008F2F73"/>
    <w:rsid w:val="008F2F7B"/>
    <w:rsid w:val="008F3165"/>
    <w:rsid w:val="008F32EE"/>
    <w:rsid w:val="008F3672"/>
    <w:rsid w:val="008F3930"/>
    <w:rsid w:val="008F3A96"/>
    <w:rsid w:val="008F3B90"/>
    <w:rsid w:val="008F3CCD"/>
    <w:rsid w:val="008F3DF5"/>
    <w:rsid w:val="008F3E1D"/>
    <w:rsid w:val="008F3E38"/>
    <w:rsid w:val="008F3E6B"/>
    <w:rsid w:val="008F41E8"/>
    <w:rsid w:val="008F4231"/>
    <w:rsid w:val="008F42FE"/>
    <w:rsid w:val="008F45F3"/>
    <w:rsid w:val="008F4C46"/>
    <w:rsid w:val="008F4C62"/>
    <w:rsid w:val="008F4D86"/>
    <w:rsid w:val="008F4F9B"/>
    <w:rsid w:val="008F526C"/>
    <w:rsid w:val="008F539F"/>
    <w:rsid w:val="008F53F5"/>
    <w:rsid w:val="008F566F"/>
    <w:rsid w:val="008F589C"/>
    <w:rsid w:val="008F5948"/>
    <w:rsid w:val="008F5B10"/>
    <w:rsid w:val="008F5BFF"/>
    <w:rsid w:val="008F5CA3"/>
    <w:rsid w:val="008F5FD9"/>
    <w:rsid w:val="008F6053"/>
    <w:rsid w:val="008F6293"/>
    <w:rsid w:val="008F65FE"/>
    <w:rsid w:val="008F6706"/>
    <w:rsid w:val="008F6AB4"/>
    <w:rsid w:val="008F71BC"/>
    <w:rsid w:val="008F72D9"/>
    <w:rsid w:val="008F7443"/>
    <w:rsid w:val="008F765D"/>
    <w:rsid w:val="008F77FE"/>
    <w:rsid w:val="008F7BE5"/>
    <w:rsid w:val="008F7DDC"/>
    <w:rsid w:val="00900050"/>
    <w:rsid w:val="009000D7"/>
    <w:rsid w:val="009001CC"/>
    <w:rsid w:val="009003B0"/>
    <w:rsid w:val="00900469"/>
    <w:rsid w:val="009008C7"/>
    <w:rsid w:val="00900946"/>
    <w:rsid w:val="00900AE3"/>
    <w:rsid w:val="00900BF1"/>
    <w:rsid w:val="00900C01"/>
    <w:rsid w:val="00900D77"/>
    <w:rsid w:val="00900F78"/>
    <w:rsid w:val="00900FFD"/>
    <w:rsid w:val="00901106"/>
    <w:rsid w:val="00901237"/>
    <w:rsid w:val="009017C8"/>
    <w:rsid w:val="00901855"/>
    <w:rsid w:val="009018DD"/>
    <w:rsid w:val="00901BD3"/>
    <w:rsid w:val="00901C06"/>
    <w:rsid w:val="00901C5E"/>
    <w:rsid w:val="00901C61"/>
    <w:rsid w:val="00901E95"/>
    <w:rsid w:val="00902093"/>
    <w:rsid w:val="00902343"/>
    <w:rsid w:val="009023DB"/>
    <w:rsid w:val="009023DC"/>
    <w:rsid w:val="00902440"/>
    <w:rsid w:val="00902504"/>
    <w:rsid w:val="00902562"/>
    <w:rsid w:val="0090265F"/>
    <w:rsid w:val="0090276E"/>
    <w:rsid w:val="00902FB7"/>
    <w:rsid w:val="00902FD2"/>
    <w:rsid w:val="00903012"/>
    <w:rsid w:val="00903030"/>
    <w:rsid w:val="009031A3"/>
    <w:rsid w:val="00903367"/>
    <w:rsid w:val="00903423"/>
    <w:rsid w:val="00903946"/>
    <w:rsid w:val="00903A1F"/>
    <w:rsid w:val="00903B42"/>
    <w:rsid w:val="00903C20"/>
    <w:rsid w:val="00903D8D"/>
    <w:rsid w:val="00903E36"/>
    <w:rsid w:val="009040EC"/>
    <w:rsid w:val="00904142"/>
    <w:rsid w:val="009042D4"/>
    <w:rsid w:val="0090434C"/>
    <w:rsid w:val="009049DF"/>
    <w:rsid w:val="00904CAD"/>
    <w:rsid w:val="00904D5B"/>
    <w:rsid w:val="00904E83"/>
    <w:rsid w:val="009050E9"/>
    <w:rsid w:val="00905377"/>
    <w:rsid w:val="009053A9"/>
    <w:rsid w:val="009053C7"/>
    <w:rsid w:val="00905638"/>
    <w:rsid w:val="009058DB"/>
    <w:rsid w:val="009060AD"/>
    <w:rsid w:val="00906117"/>
    <w:rsid w:val="009064B4"/>
    <w:rsid w:val="009066ED"/>
    <w:rsid w:val="0090677F"/>
    <w:rsid w:val="00906889"/>
    <w:rsid w:val="00906A03"/>
    <w:rsid w:val="00906B4F"/>
    <w:rsid w:val="00906CF8"/>
    <w:rsid w:val="00906EF5"/>
    <w:rsid w:val="00906FF6"/>
    <w:rsid w:val="009076FC"/>
    <w:rsid w:val="0090799C"/>
    <w:rsid w:val="00907C06"/>
    <w:rsid w:val="00907DCD"/>
    <w:rsid w:val="00907E2E"/>
    <w:rsid w:val="00907F4C"/>
    <w:rsid w:val="009100CB"/>
    <w:rsid w:val="009100F7"/>
    <w:rsid w:val="0091029E"/>
    <w:rsid w:val="0091049B"/>
    <w:rsid w:val="00910553"/>
    <w:rsid w:val="00910913"/>
    <w:rsid w:val="009109D7"/>
    <w:rsid w:val="00910A5F"/>
    <w:rsid w:val="00910D62"/>
    <w:rsid w:val="00910E89"/>
    <w:rsid w:val="00911137"/>
    <w:rsid w:val="00911220"/>
    <w:rsid w:val="0091123B"/>
    <w:rsid w:val="0091147C"/>
    <w:rsid w:val="00911800"/>
    <w:rsid w:val="0091184A"/>
    <w:rsid w:val="00911A79"/>
    <w:rsid w:val="00911BE4"/>
    <w:rsid w:val="00911F84"/>
    <w:rsid w:val="00911FBB"/>
    <w:rsid w:val="00911FDD"/>
    <w:rsid w:val="0091238F"/>
    <w:rsid w:val="009126AD"/>
    <w:rsid w:val="009126CE"/>
    <w:rsid w:val="009126D1"/>
    <w:rsid w:val="009127B8"/>
    <w:rsid w:val="0091294E"/>
    <w:rsid w:val="00912954"/>
    <w:rsid w:val="00912981"/>
    <w:rsid w:val="009129A9"/>
    <w:rsid w:val="00912C4D"/>
    <w:rsid w:val="00912CF6"/>
    <w:rsid w:val="00912D7C"/>
    <w:rsid w:val="00912DB0"/>
    <w:rsid w:val="00913591"/>
    <w:rsid w:val="009137D7"/>
    <w:rsid w:val="00913997"/>
    <w:rsid w:val="00913ABC"/>
    <w:rsid w:val="00913ADF"/>
    <w:rsid w:val="00913C1E"/>
    <w:rsid w:val="00913C38"/>
    <w:rsid w:val="00913C9C"/>
    <w:rsid w:val="00913DCC"/>
    <w:rsid w:val="00914040"/>
    <w:rsid w:val="0091427F"/>
    <w:rsid w:val="009144E7"/>
    <w:rsid w:val="00914A18"/>
    <w:rsid w:val="00914BBF"/>
    <w:rsid w:val="00914E86"/>
    <w:rsid w:val="00915220"/>
    <w:rsid w:val="0091534D"/>
    <w:rsid w:val="00915390"/>
    <w:rsid w:val="00915439"/>
    <w:rsid w:val="009154E1"/>
    <w:rsid w:val="009156A6"/>
    <w:rsid w:val="009156EA"/>
    <w:rsid w:val="009156F1"/>
    <w:rsid w:val="0091579E"/>
    <w:rsid w:val="009158A2"/>
    <w:rsid w:val="009158D7"/>
    <w:rsid w:val="00915A21"/>
    <w:rsid w:val="00915CE5"/>
    <w:rsid w:val="00915D34"/>
    <w:rsid w:val="00916326"/>
    <w:rsid w:val="009165E1"/>
    <w:rsid w:val="00916728"/>
    <w:rsid w:val="009169E4"/>
    <w:rsid w:val="00917054"/>
    <w:rsid w:val="0091784E"/>
    <w:rsid w:val="0091790F"/>
    <w:rsid w:val="009179EA"/>
    <w:rsid w:val="00917AAE"/>
    <w:rsid w:val="00917AC1"/>
    <w:rsid w:val="00917EC5"/>
    <w:rsid w:val="0092033D"/>
    <w:rsid w:val="009208ED"/>
    <w:rsid w:val="00920ECF"/>
    <w:rsid w:val="009210F1"/>
    <w:rsid w:val="00921162"/>
    <w:rsid w:val="0092180C"/>
    <w:rsid w:val="00921C39"/>
    <w:rsid w:val="00921F19"/>
    <w:rsid w:val="00921FB2"/>
    <w:rsid w:val="0092219C"/>
    <w:rsid w:val="009221DF"/>
    <w:rsid w:val="009222F8"/>
    <w:rsid w:val="0092258E"/>
    <w:rsid w:val="009227F1"/>
    <w:rsid w:val="00922930"/>
    <w:rsid w:val="00922B34"/>
    <w:rsid w:val="00922E8D"/>
    <w:rsid w:val="00922F0B"/>
    <w:rsid w:val="00922F33"/>
    <w:rsid w:val="009230D9"/>
    <w:rsid w:val="00923162"/>
    <w:rsid w:val="00923344"/>
    <w:rsid w:val="00923440"/>
    <w:rsid w:val="00923685"/>
    <w:rsid w:val="00923830"/>
    <w:rsid w:val="0092384B"/>
    <w:rsid w:val="00923DB9"/>
    <w:rsid w:val="00923E13"/>
    <w:rsid w:val="00923E30"/>
    <w:rsid w:val="009246AB"/>
    <w:rsid w:val="009249F0"/>
    <w:rsid w:val="00924BCD"/>
    <w:rsid w:val="00924C4D"/>
    <w:rsid w:val="00924C89"/>
    <w:rsid w:val="00924E4D"/>
    <w:rsid w:val="0092508D"/>
    <w:rsid w:val="00925132"/>
    <w:rsid w:val="0092538F"/>
    <w:rsid w:val="00925449"/>
    <w:rsid w:val="0092563C"/>
    <w:rsid w:val="00925C0A"/>
    <w:rsid w:val="00925C7F"/>
    <w:rsid w:val="009262B0"/>
    <w:rsid w:val="00926308"/>
    <w:rsid w:val="009268E1"/>
    <w:rsid w:val="009268F9"/>
    <w:rsid w:val="00926B0E"/>
    <w:rsid w:val="00926B66"/>
    <w:rsid w:val="00926C3D"/>
    <w:rsid w:val="00926F88"/>
    <w:rsid w:val="00927A8E"/>
    <w:rsid w:val="00927C0F"/>
    <w:rsid w:val="00927DB8"/>
    <w:rsid w:val="00930111"/>
    <w:rsid w:val="00930368"/>
    <w:rsid w:val="00930418"/>
    <w:rsid w:val="00930432"/>
    <w:rsid w:val="009304BA"/>
    <w:rsid w:val="009304D4"/>
    <w:rsid w:val="009306A0"/>
    <w:rsid w:val="0093076E"/>
    <w:rsid w:val="00930848"/>
    <w:rsid w:val="00930910"/>
    <w:rsid w:val="00930AB9"/>
    <w:rsid w:val="00931959"/>
    <w:rsid w:val="00931ACC"/>
    <w:rsid w:val="00931CB4"/>
    <w:rsid w:val="00931E94"/>
    <w:rsid w:val="009323AF"/>
    <w:rsid w:val="00932654"/>
    <w:rsid w:val="00932710"/>
    <w:rsid w:val="00932786"/>
    <w:rsid w:val="009327EE"/>
    <w:rsid w:val="00932A18"/>
    <w:rsid w:val="00932D6A"/>
    <w:rsid w:val="0093359D"/>
    <w:rsid w:val="00933734"/>
    <w:rsid w:val="00933844"/>
    <w:rsid w:val="00933A56"/>
    <w:rsid w:val="00933A81"/>
    <w:rsid w:val="00933CE8"/>
    <w:rsid w:val="00933DE7"/>
    <w:rsid w:val="00933EC4"/>
    <w:rsid w:val="00934188"/>
    <w:rsid w:val="009341AB"/>
    <w:rsid w:val="0093421F"/>
    <w:rsid w:val="0093439C"/>
    <w:rsid w:val="0093449C"/>
    <w:rsid w:val="009345E5"/>
    <w:rsid w:val="0093497B"/>
    <w:rsid w:val="00934A37"/>
    <w:rsid w:val="00934C76"/>
    <w:rsid w:val="00934EE8"/>
    <w:rsid w:val="00934F55"/>
    <w:rsid w:val="00935048"/>
    <w:rsid w:val="009350A5"/>
    <w:rsid w:val="009350F7"/>
    <w:rsid w:val="00935142"/>
    <w:rsid w:val="00935ABC"/>
    <w:rsid w:val="00935B29"/>
    <w:rsid w:val="0093619B"/>
    <w:rsid w:val="00936400"/>
    <w:rsid w:val="00936603"/>
    <w:rsid w:val="00936838"/>
    <w:rsid w:val="00936947"/>
    <w:rsid w:val="009369A2"/>
    <w:rsid w:val="00936ACC"/>
    <w:rsid w:val="00936AF0"/>
    <w:rsid w:val="00936B83"/>
    <w:rsid w:val="00936D22"/>
    <w:rsid w:val="00936D35"/>
    <w:rsid w:val="00936DC4"/>
    <w:rsid w:val="0093710B"/>
    <w:rsid w:val="0093717B"/>
    <w:rsid w:val="0093718D"/>
    <w:rsid w:val="009374D7"/>
    <w:rsid w:val="0093750C"/>
    <w:rsid w:val="00937630"/>
    <w:rsid w:val="009376E0"/>
    <w:rsid w:val="00937942"/>
    <w:rsid w:val="00937A72"/>
    <w:rsid w:val="00937AFB"/>
    <w:rsid w:val="00937CEF"/>
    <w:rsid w:val="00937D1B"/>
    <w:rsid w:val="00937D8C"/>
    <w:rsid w:val="00937E64"/>
    <w:rsid w:val="00937F55"/>
    <w:rsid w:val="009401A6"/>
    <w:rsid w:val="009402A3"/>
    <w:rsid w:val="009402E6"/>
    <w:rsid w:val="00940687"/>
    <w:rsid w:val="00940A7A"/>
    <w:rsid w:val="00940C56"/>
    <w:rsid w:val="00940FDA"/>
    <w:rsid w:val="00941574"/>
    <w:rsid w:val="0094158F"/>
    <w:rsid w:val="009415FF"/>
    <w:rsid w:val="00941651"/>
    <w:rsid w:val="009417D6"/>
    <w:rsid w:val="0094183C"/>
    <w:rsid w:val="0094198D"/>
    <w:rsid w:val="009419A0"/>
    <w:rsid w:val="009419BA"/>
    <w:rsid w:val="00941F0C"/>
    <w:rsid w:val="00941F86"/>
    <w:rsid w:val="009420F5"/>
    <w:rsid w:val="009421C2"/>
    <w:rsid w:val="009421C4"/>
    <w:rsid w:val="009423B8"/>
    <w:rsid w:val="00942573"/>
    <w:rsid w:val="009425AB"/>
    <w:rsid w:val="009425CD"/>
    <w:rsid w:val="0094265F"/>
    <w:rsid w:val="00942724"/>
    <w:rsid w:val="009427F1"/>
    <w:rsid w:val="00942889"/>
    <w:rsid w:val="009428F9"/>
    <w:rsid w:val="00942AD9"/>
    <w:rsid w:val="00942CB4"/>
    <w:rsid w:val="00942D69"/>
    <w:rsid w:val="00942D7D"/>
    <w:rsid w:val="00942DF6"/>
    <w:rsid w:val="00942E73"/>
    <w:rsid w:val="00942EBE"/>
    <w:rsid w:val="0094302D"/>
    <w:rsid w:val="009431CD"/>
    <w:rsid w:val="0094369E"/>
    <w:rsid w:val="00943938"/>
    <w:rsid w:val="00943EA4"/>
    <w:rsid w:val="00943F4D"/>
    <w:rsid w:val="0094437D"/>
    <w:rsid w:val="00944459"/>
    <w:rsid w:val="0094473D"/>
    <w:rsid w:val="009447A6"/>
    <w:rsid w:val="009448EE"/>
    <w:rsid w:val="00944B5A"/>
    <w:rsid w:val="00944E33"/>
    <w:rsid w:val="00944F17"/>
    <w:rsid w:val="009450AD"/>
    <w:rsid w:val="009451D1"/>
    <w:rsid w:val="009452F6"/>
    <w:rsid w:val="009456C9"/>
    <w:rsid w:val="0094579F"/>
    <w:rsid w:val="00945953"/>
    <w:rsid w:val="00945991"/>
    <w:rsid w:val="00945C98"/>
    <w:rsid w:val="00945D03"/>
    <w:rsid w:val="00945DAD"/>
    <w:rsid w:val="009460AA"/>
    <w:rsid w:val="00946190"/>
    <w:rsid w:val="00946483"/>
    <w:rsid w:val="009469C1"/>
    <w:rsid w:val="00946A22"/>
    <w:rsid w:val="00946A60"/>
    <w:rsid w:val="00946BB2"/>
    <w:rsid w:val="00946DDF"/>
    <w:rsid w:val="00946DE2"/>
    <w:rsid w:val="00946FBC"/>
    <w:rsid w:val="009474E6"/>
    <w:rsid w:val="00947A39"/>
    <w:rsid w:val="00947A4D"/>
    <w:rsid w:val="00947F2F"/>
    <w:rsid w:val="00947F7E"/>
    <w:rsid w:val="00947F9B"/>
    <w:rsid w:val="00947FDB"/>
    <w:rsid w:val="0095008E"/>
    <w:rsid w:val="009502F3"/>
    <w:rsid w:val="009504FA"/>
    <w:rsid w:val="009508B1"/>
    <w:rsid w:val="009509CA"/>
    <w:rsid w:val="00950CF6"/>
    <w:rsid w:val="00950D76"/>
    <w:rsid w:val="00950D7F"/>
    <w:rsid w:val="00950D93"/>
    <w:rsid w:val="00951046"/>
    <w:rsid w:val="009511DB"/>
    <w:rsid w:val="00951206"/>
    <w:rsid w:val="00951388"/>
    <w:rsid w:val="009513FB"/>
    <w:rsid w:val="00951400"/>
    <w:rsid w:val="00951716"/>
    <w:rsid w:val="00951755"/>
    <w:rsid w:val="009518C3"/>
    <w:rsid w:val="00951D81"/>
    <w:rsid w:val="00951F7D"/>
    <w:rsid w:val="00951FA0"/>
    <w:rsid w:val="0095244D"/>
    <w:rsid w:val="00952576"/>
    <w:rsid w:val="00952E49"/>
    <w:rsid w:val="00953095"/>
    <w:rsid w:val="00953131"/>
    <w:rsid w:val="00953242"/>
    <w:rsid w:val="009532E8"/>
    <w:rsid w:val="00953503"/>
    <w:rsid w:val="00953563"/>
    <w:rsid w:val="00953603"/>
    <w:rsid w:val="00953664"/>
    <w:rsid w:val="00953A2D"/>
    <w:rsid w:val="00953B25"/>
    <w:rsid w:val="00953C14"/>
    <w:rsid w:val="00953FAD"/>
    <w:rsid w:val="009540DD"/>
    <w:rsid w:val="00954327"/>
    <w:rsid w:val="00954345"/>
    <w:rsid w:val="00954603"/>
    <w:rsid w:val="00954608"/>
    <w:rsid w:val="00954609"/>
    <w:rsid w:val="0095467A"/>
    <w:rsid w:val="0095490A"/>
    <w:rsid w:val="00954931"/>
    <w:rsid w:val="00954C72"/>
    <w:rsid w:val="00954E73"/>
    <w:rsid w:val="00954EA1"/>
    <w:rsid w:val="00954EFA"/>
    <w:rsid w:val="00954FD6"/>
    <w:rsid w:val="009551FB"/>
    <w:rsid w:val="00955320"/>
    <w:rsid w:val="00955684"/>
    <w:rsid w:val="009558C9"/>
    <w:rsid w:val="00955A1F"/>
    <w:rsid w:val="00955A28"/>
    <w:rsid w:val="00955A87"/>
    <w:rsid w:val="00955BF8"/>
    <w:rsid w:val="00955CCA"/>
    <w:rsid w:val="00955CFF"/>
    <w:rsid w:val="00955F72"/>
    <w:rsid w:val="00955F87"/>
    <w:rsid w:val="009563DE"/>
    <w:rsid w:val="00956416"/>
    <w:rsid w:val="00956650"/>
    <w:rsid w:val="00956A20"/>
    <w:rsid w:val="00956A6F"/>
    <w:rsid w:val="00956CAA"/>
    <w:rsid w:val="00956DB2"/>
    <w:rsid w:val="009571BE"/>
    <w:rsid w:val="00957563"/>
    <w:rsid w:val="0095760D"/>
    <w:rsid w:val="009576D7"/>
    <w:rsid w:val="00957B8B"/>
    <w:rsid w:val="00957D35"/>
    <w:rsid w:val="00957D91"/>
    <w:rsid w:val="00957E55"/>
    <w:rsid w:val="00957E95"/>
    <w:rsid w:val="00957EE7"/>
    <w:rsid w:val="00957EFC"/>
    <w:rsid w:val="00960175"/>
    <w:rsid w:val="00960266"/>
    <w:rsid w:val="009602C6"/>
    <w:rsid w:val="0096049C"/>
    <w:rsid w:val="00960603"/>
    <w:rsid w:val="009609BD"/>
    <w:rsid w:val="00960A85"/>
    <w:rsid w:val="00960B7B"/>
    <w:rsid w:val="00960CFF"/>
    <w:rsid w:val="00960D0D"/>
    <w:rsid w:val="00960E21"/>
    <w:rsid w:val="00960E32"/>
    <w:rsid w:val="00960EE6"/>
    <w:rsid w:val="009611C7"/>
    <w:rsid w:val="00961373"/>
    <w:rsid w:val="009615C8"/>
    <w:rsid w:val="0096181A"/>
    <w:rsid w:val="0096187B"/>
    <w:rsid w:val="00961C3B"/>
    <w:rsid w:val="00961DBC"/>
    <w:rsid w:val="00961E9B"/>
    <w:rsid w:val="00961FA3"/>
    <w:rsid w:val="009621AE"/>
    <w:rsid w:val="0096232E"/>
    <w:rsid w:val="0096243F"/>
    <w:rsid w:val="0096263E"/>
    <w:rsid w:val="0096298C"/>
    <w:rsid w:val="00962B25"/>
    <w:rsid w:val="00962F1A"/>
    <w:rsid w:val="00963101"/>
    <w:rsid w:val="0096326D"/>
    <w:rsid w:val="009632C1"/>
    <w:rsid w:val="009633D4"/>
    <w:rsid w:val="0096363B"/>
    <w:rsid w:val="00963A26"/>
    <w:rsid w:val="00963A59"/>
    <w:rsid w:val="00963B43"/>
    <w:rsid w:val="00963BBE"/>
    <w:rsid w:val="00963BF0"/>
    <w:rsid w:val="00963CA8"/>
    <w:rsid w:val="00963E14"/>
    <w:rsid w:val="00964026"/>
    <w:rsid w:val="0096420D"/>
    <w:rsid w:val="00964310"/>
    <w:rsid w:val="00964333"/>
    <w:rsid w:val="00964378"/>
    <w:rsid w:val="009644F1"/>
    <w:rsid w:val="00964592"/>
    <w:rsid w:val="009645CD"/>
    <w:rsid w:val="00964894"/>
    <w:rsid w:val="00964988"/>
    <w:rsid w:val="00964D45"/>
    <w:rsid w:val="00964FFD"/>
    <w:rsid w:val="00965189"/>
    <w:rsid w:val="00965193"/>
    <w:rsid w:val="0096571E"/>
    <w:rsid w:val="00965833"/>
    <w:rsid w:val="009658B0"/>
    <w:rsid w:val="00965924"/>
    <w:rsid w:val="00965B6E"/>
    <w:rsid w:val="00965BA4"/>
    <w:rsid w:val="00965C67"/>
    <w:rsid w:val="009661A1"/>
    <w:rsid w:val="00966382"/>
    <w:rsid w:val="009663CD"/>
    <w:rsid w:val="009667F4"/>
    <w:rsid w:val="00966881"/>
    <w:rsid w:val="00966A78"/>
    <w:rsid w:val="00966EDD"/>
    <w:rsid w:val="00967132"/>
    <w:rsid w:val="00967226"/>
    <w:rsid w:val="00967371"/>
    <w:rsid w:val="009675A8"/>
    <w:rsid w:val="00967601"/>
    <w:rsid w:val="009677BF"/>
    <w:rsid w:val="009679C2"/>
    <w:rsid w:val="00967A97"/>
    <w:rsid w:val="00967BF9"/>
    <w:rsid w:val="00970050"/>
    <w:rsid w:val="009701A9"/>
    <w:rsid w:val="00970660"/>
    <w:rsid w:val="009707C9"/>
    <w:rsid w:val="009708E3"/>
    <w:rsid w:val="00970B0E"/>
    <w:rsid w:val="00970BDC"/>
    <w:rsid w:val="00970D07"/>
    <w:rsid w:val="009712F1"/>
    <w:rsid w:val="00971337"/>
    <w:rsid w:val="009715A7"/>
    <w:rsid w:val="00971634"/>
    <w:rsid w:val="009716B1"/>
    <w:rsid w:val="00971A56"/>
    <w:rsid w:val="00971B48"/>
    <w:rsid w:val="00971BDE"/>
    <w:rsid w:val="00971DEE"/>
    <w:rsid w:val="00971E7D"/>
    <w:rsid w:val="00971F1E"/>
    <w:rsid w:val="009722FD"/>
    <w:rsid w:val="0097237C"/>
    <w:rsid w:val="00972500"/>
    <w:rsid w:val="00972513"/>
    <w:rsid w:val="00972559"/>
    <w:rsid w:val="009728C2"/>
    <w:rsid w:val="00972C62"/>
    <w:rsid w:val="00972D8D"/>
    <w:rsid w:val="00972E8C"/>
    <w:rsid w:val="00972EC4"/>
    <w:rsid w:val="00972F52"/>
    <w:rsid w:val="00973732"/>
    <w:rsid w:val="00973DEB"/>
    <w:rsid w:val="00973DF7"/>
    <w:rsid w:val="00973E4D"/>
    <w:rsid w:val="00973ED9"/>
    <w:rsid w:val="00973EF1"/>
    <w:rsid w:val="00973F19"/>
    <w:rsid w:val="00974790"/>
    <w:rsid w:val="009747D4"/>
    <w:rsid w:val="00974896"/>
    <w:rsid w:val="009749A9"/>
    <w:rsid w:val="009749F0"/>
    <w:rsid w:val="00974A78"/>
    <w:rsid w:val="00974ECF"/>
    <w:rsid w:val="00974F84"/>
    <w:rsid w:val="00974FD3"/>
    <w:rsid w:val="009752E4"/>
    <w:rsid w:val="00975351"/>
    <w:rsid w:val="009753C8"/>
    <w:rsid w:val="0097544C"/>
    <w:rsid w:val="009754A9"/>
    <w:rsid w:val="009756CD"/>
    <w:rsid w:val="009758FC"/>
    <w:rsid w:val="009759F8"/>
    <w:rsid w:val="00975C3D"/>
    <w:rsid w:val="00975E48"/>
    <w:rsid w:val="0097618D"/>
    <w:rsid w:val="0097625B"/>
    <w:rsid w:val="00976769"/>
    <w:rsid w:val="0097676F"/>
    <w:rsid w:val="009767D6"/>
    <w:rsid w:val="009767D8"/>
    <w:rsid w:val="0097689B"/>
    <w:rsid w:val="00976D54"/>
    <w:rsid w:val="009770B9"/>
    <w:rsid w:val="00977303"/>
    <w:rsid w:val="0097735D"/>
    <w:rsid w:val="00977375"/>
    <w:rsid w:val="00977394"/>
    <w:rsid w:val="00977420"/>
    <w:rsid w:val="00977785"/>
    <w:rsid w:val="00977850"/>
    <w:rsid w:val="009779F3"/>
    <w:rsid w:val="00977B4C"/>
    <w:rsid w:val="00977E1F"/>
    <w:rsid w:val="00980317"/>
    <w:rsid w:val="009804B8"/>
    <w:rsid w:val="00980535"/>
    <w:rsid w:val="00980E01"/>
    <w:rsid w:val="00980F80"/>
    <w:rsid w:val="00980FC8"/>
    <w:rsid w:val="00981067"/>
    <w:rsid w:val="0098106C"/>
    <w:rsid w:val="00981206"/>
    <w:rsid w:val="009816DD"/>
    <w:rsid w:val="009816DF"/>
    <w:rsid w:val="009817F6"/>
    <w:rsid w:val="00981A65"/>
    <w:rsid w:val="00981AA5"/>
    <w:rsid w:val="00981CFF"/>
    <w:rsid w:val="0098208A"/>
    <w:rsid w:val="009820BE"/>
    <w:rsid w:val="009820D4"/>
    <w:rsid w:val="00982587"/>
    <w:rsid w:val="00982591"/>
    <w:rsid w:val="00982992"/>
    <w:rsid w:val="00982A81"/>
    <w:rsid w:val="00982DA0"/>
    <w:rsid w:val="00982E1B"/>
    <w:rsid w:val="00983024"/>
    <w:rsid w:val="00983310"/>
    <w:rsid w:val="009833F9"/>
    <w:rsid w:val="00983445"/>
    <w:rsid w:val="0098353C"/>
    <w:rsid w:val="009835D2"/>
    <w:rsid w:val="0098362F"/>
    <w:rsid w:val="00983AE9"/>
    <w:rsid w:val="00983B1B"/>
    <w:rsid w:val="00983CBD"/>
    <w:rsid w:val="00983EDE"/>
    <w:rsid w:val="00984BD8"/>
    <w:rsid w:val="009853BB"/>
    <w:rsid w:val="0098553B"/>
    <w:rsid w:val="00985645"/>
    <w:rsid w:val="00985751"/>
    <w:rsid w:val="009857A2"/>
    <w:rsid w:val="0098586E"/>
    <w:rsid w:val="0098594B"/>
    <w:rsid w:val="00985A1E"/>
    <w:rsid w:val="00985E3A"/>
    <w:rsid w:val="00985EB6"/>
    <w:rsid w:val="00985F26"/>
    <w:rsid w:val="00985F86"/>
    <w:rsid w:val="00986128"/>
    <w:rsid w:val="00986155"/>
    <w:rsid w:val="00986156"/>
    <w:rsid w:val="00986180"/>
    <w:rsid w:val="0098622B"/>
    <w:rsid w:val="009867AA"/>
    <w:rsid w:val="00986B5C"/>
    <w:rsid w:val="00986C8C"/>
    <w:rsid w:val="00986C96"/>
    <w:rsid w:val="00986F1A"/>
    <w:rsid w:val="00986F40"/>
    <w:rsid w:val="009872E2"/>
    <w:rsid w:val="0098743A"/>
    <w:rsid w:val="0098746C"/>
    <w:rsid w:val="0098756A"/>
    <w:rsid w:val="00987782"/>
    <w:rsid w:val="009877C3"/>
    <w:rsid w:val="0099016E"/>
    <w:rsid w:val="00990225"/>
    <w:rsid w:val="00990560"/>
    <w:rsid w:val="00990968"/>
    <w:rsid w:val="0099102F"/>
    <w:rsid w:val="00991161"/>
    <w:rsid w:val="009911FA"/>
    <w:rsid w:val="009912E7"/>
    <w:rsid w:val="00991347"/>
    <w:rsid w:val="00991389"/>
    <w:rsid w:val="0099147B"/>
    <w:rsid w:val="009914DF"/>
    <w:rsid w:val="009915CF"/>
    <w:rsid w:val="0099169C"/>
    <w:rsid w:val="009916D5"/>
    <w:rsid w:val="00991789"/>
    <w:rsid w:val="0099198B"/>
    <w:rsid w:val="00991C7B"/>
    <w:rsid w:val="00991CAA"/>
    <w:rsid w:val="00991D3C"/>
    <w:rsid w:val="00991F0C"/>
    <w:rsid w:val="00991FAB"/>
    <w:rsid w:val="0099217B"/>
    <w:rsid w:val="00992482"/>
    <w:rsid w:val="0099266D"/>
    <w:rsid w:val="00992AE1"/>
    <w:rsid w:val="00992B8B"/>
    <w:rsid w:val="00992D19"/>
    <w:rsid w:val="00992E7B"/>
    <w:rsid w:val="009930EB"/>
    <w:rsid w:val="00993176"/>
    <w:rsid w:val="00993263"/>
    <w:rsid w:val="00993343"/>
    <w:rsid w:val="0099375C"/>
    <w:rsid w:val="0099420C"/>
    <w:rsid w:val="009944A6"/>
    <w:rsid w:val="00994801"/>
    <w:rsid w:val="00994A86"/>
    <w:rsid w:val="00994EC8"/>
    <w:rsid w:val="00994FDE"/>
    <w:rsid w:val="00995182"/>
    <w:rsid w:val="0099559C"/>
    <w:rsid w:val="0099562F"/>
    <w:rsid w:val="00995677"/>
    <w:rsid w:val="00995DF7"/>
    <w:rsid w:val="0099615A"/>
    <w:rsid w:val="0099634D"/>
    <w:rsid w:val="00996605"/>
    <w:rsid w:val="00996982"/>
    <w:rsid w:val="00996ED3"/>
    <w:rsid w:val="00997489"/>
    <w:rsid w:val="0099758A"/>
    <w:rsid w:val="009976FD"/>
    <w:rsid w:val="0099785C"/>
    <w:rsid w:val="00997B20"/>
    <w:rsid w:val="00997C8F"/>
    <w:rsid w:val="00997D8D"/>
    <w:rsid w:val="00997DAC"/>
    <w:rsid w:val="009A05A8"/>
    <w:rsid w:val="009A0648"/>
    <w:rsid w:val="009A06A6"/>
    <w:rsid w:val="009A09F8"/>
    <w:rsid w:val="009A0E95"/>
    <w:rsid w:val="009A0EBD"/>
    <w:rsid w:val="009A0F43"/>
    <w:rsid w:val="009A116B"/>
    <w:rsid w:val="009A11CB"/>
    <w:rsid w:val="009A120D"/>
    <w:rsid w:val="009A1235"/>
    <w:rsid w:val="009A13FA"/>
    <w:rsid w:val="009A16FA"/>
    <w:rsid w:val="009A1800"/>
    <w:rsid w:val="009A18CE"/>
    <w:rsid w:val="009A19FC"/>
    <w:rsid w:val="009A1B79"/>
    <w:rsid w:val="009A1D78"/>
    <w:rsid w:val="009A1DC0"/>
    <w:rsid w:val="009A1EF4"/>
    <w:rsid w:val="009A1FB7"/>
    <w:rsid w:val="009A2043"/>
    <w:rsid w:val="009A2156"/>
    <w:rsid w:val="009A220C"/>
    <w:rsid w:val="009A251F"/>
    <w:rsid w:val="009A2671"/>
    <w:rsid w:val="009A2779"/>
    <w:rsid w:val="009A2BC6"/>
    <w:rsid w:val="009A2C1C"/>
    <w:rsid w:val="009A2F34"/>
    <w:rsid w:val="009A2F92"/>
    <w:rsid w:val="009A33BF"/>
    <w:rsid w:val="009A3456"/>
    <w:rsid w:val="009A34EC"/>
    <w:rsid w:val="009A36AB"/>
    <w:rsid w:val="009A372C"/>
    <w:rsid w:val="009A415E"/>
    <w:rsid w:val="009A443A"/>
    <w:rsid w:val="009A45E2"/>
    <w:rsid w:val="009A47E4"/>
    <w:rsid w:val="009A485D"/>
    <w:rsid w:val="009A4A30"/>
    <w:rsid w:val="009A4BBF"/>
    <w:rsid w:val="009A4C5F"/>
    <w:rsid w:val="009A4C7C"/>
    <w:rsid w:val="009A4F56"/>
    <w:rsid w:val="009A4F5E"/>
    <w:rsid w:val="009A4FDF"/>
    <w:rsid w:val="009A5111"/>
    <w:rsid w:val="009A512B"/>
    <w:rsid w:val="009A5152"/>
    <w:rsid w:val="009A52BA"/>
    <w:rsid w:val="009A5575"/>
    <w:rsid w:val="009A58F7"/>
    <w:rsid w:val="009A5976"/>
    <w:rsid w:val="009A59F8"/>
    <w:rsid w:val="009A5F0E"/>
    <w:rsid w:val="009A60A2"/>
    <w:rsid w:val="009A62E6"/>
    <w:rsid w:val="009A6665"/>
    <w:rsid w:val="009A683A"/>
    <w:rsid w:val="009A6884"/>
    <w:rsid w:val="009A6961"/>
    <w:rsid w:val="009A6ADC"/>
    <w:rsid w:val="009A6C36"/>
    <w:rsid w:val="009A6D27"/>
    <w:rsid w:val="009A6DE7"/>
    <w:rsid w:val="009A6EF3"/>
    <w:rsid w:val="009A7733"/>
    <w:rsid w:val="009A78F3"/>
    <w:rsid w:val="009A7A0D"/>
    <w:rsid w:val="009A7C69"/>
    <w:rsid w:val="009A7DC5"/>
    <w:rsid w:val="009B0359"/>
    <w:rsid w:val="009B04C5"/>
    <w:rsid w:val="009B0680"/>
    <w:rsid w:val="009B0807"/>
    <w:rsid w:val="009B0A5F"/>
    <w:rsid w:val="009B0B88"/>
    <w:rsid w:val="009B0BE7"/>
    <w:rsid w:val="009B0E18"/>
    <w:rsid w:val="009B10B5"/>
    <w:rsid w:val="009B1166"/>
    <w:rsid w:val="009B120F"/>
    <w:rsid w:val="009B12E0"/>
    <w:rsid w:val="009B1875"/>
    <w:rsid w:val="009B19E3"/>
    <w:rsid w:val="009B1B7F"/>
    <w:rsid w:val="009B1D5B"/>
    <w:rsid w:val="009B1DE0"/>
    <w:rsid w:val="009B1E30"/>
    <w:rsid w:val="009B2320"/>
    <w:rsid w:val="009B2391"/>
    <w:rsid w:val="009B2715"/>
    <w:rsid w:val="009B289B"/>
    <w:rsid w:val="009B2B43"/>
    <w:rsid w:val="009B2B50"/>
    <w:rsid w:val="009B2B71"/>
    <w:rsid w:val="009B2D63"/>
    <w:rsid w:val="009B2D72"/>
    <w:rsid w:val="009B2F58"/>
    <w:rsid w:val="009B30CD"/>
    <w:rsid w:val="009B34BE"/>
    <w:rsid w:val="009B3A0B"/>
    <w:rsid w:val="009B3A95"/>
    <w:rsid w:val="009B4040"/>
    <w:rsid w:val="009B4488"/>
    <w:rsid w:val="009B44FD"/>
    <w:rsid w:val="009B4500"/>
    <w:rsid w:val="009B4B53"/>
    <w:rsid w:val="009B4B86"/>
    <w:rsid w:val="009B4FB4"/>
    <w:rsid w:val="009B50B8"/>
    <w:rsid w:val="009B52DF"/>
    <w:rsid w:val="009B53E8"/>
    <w:rsid w:val="009B55DA"/>
    <w:rsid w:val="009B59D6"/>
    <w:rsid w:val="009B5A2F"/>
    <w:rsid w:val="009B5A6D"/>
    <w:rsid w:val="009B5AF6"/>
    <w:rsid w:val="009B5B5F"/>
    <w:rsid w:val="009B5C8F"/>
    <w:rsid w:val="009B5F61"/>
    <w:rsid w:val="009B608F"/>
    <w:rsid w:val="009B60F0"/>
    <w:rsid w:val="009B675B"/>
    <w:rsid w:val="009B68D2"/>
    <w:rsid w:val="009B6C01"/>
    <w:rsid w:val="009B7159"/>
    <w:rsid w:val="009B7286"/>
    <w:rsid w:val="009B740B"/>
    <w:rsid w:val="009B7554"/>
    <w:rsid w:val="009B75CE"/>
    <w:rsid w:val="009B7F11"/>
    <w:rsid w:val="009C0356"/>
    <w:rsid w:val="009C0421"/>
    <w:rsid w:val="009C0608"/>
    <w:rsid w:val="009C06E4"/>
    <w:rsid w:val="009C073A"/>
    <w:rsid w:val="009C0B54"/>
    <w:rsid w:val="009C1122"/>
    <w:rsid w:val="009C1188"/>
    <w:rsid w:val="009C1454"/>
    <w:rsid w:val="009C148F"/>
    <w:rsid w:val="009C149F"/>
    <w:rsid w:val="009C1555"/>
    <w:rsid w:val="009C166B"/>
    <w:rsid w:val="009C1673"/>
    <w:rsid w:val="009C1701"/>
    <w:rsid w:val="009C1727"/>
    <w:rsid w:val="009C1A2B"/>
    <w:rsid w:val="009C1D7F"/>
    <w:rsid w:val="009C1FC5"/>
    <w:rsid w:val="009C2141"/>
    <w:rsid w:val="009C22E0"/>
    <w:rsid w:val="009C259A"/>
    <w:rsid w:val="009C2653"/>
    <w:rsid w:val="009C2872"/>
    <w:rsid w:val="009C2CF8"/>
    <w:rsid w:val="009C2D73"/>
    <w:rsid w:val="009C2DE9"/>
    <w:rsid w:val="009C2ECF"/>
    <w:rsid w:val="009C30DD"/>
    <w:rsid w:val="009C31FD"/>
    <w:rsid w:val="009C3253"/>
    <w:rsid w:val="009C329A"/>
    <w:rsid w:val="009C329C"/>
    <w:rsid w:val="009C3327"/>
    <w:rsid w:val="009C3380"/>
    <w:rsid w:val="009C33AC"/>
    <w:rsid w:val="009C3A55"/>
    <w:rsid w:val="009C3A9C"/>
    <w:rsid w:val="009C3AAB"/>
    <w:rsid w:val="009C3AF8"/>
    <w:rsid w:val="009C3BC7"/>
    <w:rsid w:val="009C3BD4"/>
    <w:rsid w:val="009C3D5F"/>
    <w:rsid w:val="009C3F12"/>
    <w:rsid w:val="009C3F14"/>
    <w:rsid w:val="009C49BA"/>
    <w:rsid w:val="009C49C0"/>
    <w:rsid w:val="009C513C"/>
    <w:rsid w:val="009C51B7"/>
    <w:rsid w:val="009C5247"/>
    <w:rsid w:val="009C528A"/>
    <w:rsid w:val="009C5624"/>
    <w:rsid w:val="009C5A7D"/>
    <w:rsid w:val="009C5CDD"/>
    <w:rsid w:val="009C5FC1"/>
    <w:rsid w:val="009C60E8"/>
    <w:rsid w:val="009C6152"/>
    <w:rsid w:val="009C63A1"/>
    <w:rsid w:val="009C64F6"/>
    <w:rsid w:val="009C6504"/>
    <w:rsid w:val="009C6AFB"/>
    <w:rsid w:val="009C6BE6"/>
    <w:rsid w:val="009C6C7A"/>
    <w:rsid w:val="009C6DE1"/>
    <w:rsid w:val="009C6DF7"/>
    <w:rsid w:val="009C6E9E"/>
    <w:rsid w:val="009C73B5"/>
    <w:rsid w:val="009C7483"/>
    <w:rsid w:val="009C748B"/>
    <w:rsid w:val="009C7496"/>
    <w:rsid w:val="009C7501"/>
    <w:rsid w:val="009C7996"/>
    <w:rsid w:val="009C7A43"/>
    <w:rsid w:val="009C7A8A"/>
    <w:rsid w:val="009C7BA6"/>
    <w:rsid w:val="009C7C6D"/>
    <w:rsid w:val="009D0180"/>
    <w:rsid w:val="009D01D1"/>
    <w:rsid w:val="009D0382"/>
    <w:rsid w:val="009D0518"/>
    <w:rsid w:val="009D057F"/>
    <w:rsid w:val="009D0766"/>
    <w:rsid w:val="009D08CA"/>
    <w:rsid w:val="009D098C"/>
    <w:rsid w:val="009D0B4B"/>
    <w:rsid w:val="009D120C"/>
    <w:rsid w:val="009D14CF"/>
    <w:rsid w:val="009D1511"/>
    <w:rsid w:val="009D191A"/>
    <w:rsid w:val="009D19A0"/>
    <w:rsid w:val="009D19BB"/>
    <w:rsid w:val="009D1ABA"/>
    <w:rsid w:val="009D1BA6"/>
    <w:rsid w:val="009D1DAC"/>
    <w:rsid w:val="009D2658"/>
    <w:rsid w:val="009D2671"/>
    <w:rsid w:val="009D2857"/>
    <w:rsid w:val="009D29B2"/>
    <w:rsid w:val="009D2A22"/>
    <w:rsid w:val="009D2AD9"/>
    <w:rsid w:val="009D2FEF"/>
    <w:rsid w:val="009D387A"/>
    <w:rsid w:val="009D3910"/>
    <w:rsid w:val="009D3918"/>
    <w:rsid w:val="009D3A36"/>
    <w:rsid w:val="009D3AD5"/>
    <w:rsid w:val="009D3E01"/>
    <w:rsid w:val="009D3ED2"/>
    <w:rsid w:val="009D3F3C"/>
    <w:rsid w:val="009D3F64"/>
    <w:rsid w:val="009D415E"/>
    <w:rsid w:val="009D44A5"/>
    <w:rsid w:val="009D4580"/>
    <w:rsid w:val="009D45F5"/>
    <w:rsid w:val="009D4934"/>
    <w:rsid w:val="009D496A"/>
    <w:rsid w:val="009D49AD"/>
    <w:rsid w:val="009D4CEF"/>
    <w:rsid w:val="009D4D5E"/>
    <w:rsid w:val="009D503F"/>
    <w:rsid w:val="009D50A6"/>
    <w:rsid w:val="009D515C"/>
    <w:rsid w:val="009D54AD"/>
    <w:rsid w:val="009D5586"/>
    <w:rsid w:val="009D568B"/>
    <w:rsid w:val="009D5895"/>
    <w:rsid w:val="009D597A"/>
    <w:rsid w:val="009D5A69"/>
    <w:rsid w:val="009D5B7A"/>
    <w:rsid w:val="009D5E53"/>
    <w:rsid w:val="009D5E6B"/>
    <w:rsid w:val="009D5E8E"/>
    <w:rsid w:val="009D5EAD"/>
    <w:rsid w:val="009D6148"/>
    <w:rsid w:val="009D62F2"/>
    <w:rsid w:val="009D64CA"/>
    <w:rsid w:val="009D65E4"/>
    <w:rsid w:val="009D6947"/>
    <w:rsid w:val="009D69E8"/>
    <w:rsid w:val="009D6A53"/>
    <w:rsid w:val="009D6B30"/>
    <w:rsid w:val="009D6CB0"/>
    <w:rsid w:val="009D6D71"/>
    <w:rsid w:val="009D6D89"/>
    <w:rsid w:val="009D7014"/>
    <w:rsid w:val="009D705B"/>
    <w:rsid w:val="009D71F6"/>
    <w:rsid w:val="009D73BC"/>
    <w:rsid w:val="009D761A"/>
    <w:rsid w:val="009D7994"/>
    <w:rsid w:val="009D7B03"/>
    <w:rsid w:val="009D7B65"/>
    <w:rsid w:val="009D7B93"/>
    <w:rsid w:val="009D7B95"/>
    <w:rsid w:val="009D7D22"/>
    <w:rsid w:val="009E0115"/>
    <w:rsid w:val="009E013E"/>
    <w:rsid w:val="009E02F8"/>
    <w:rsid w:val="009E0327"/>
    <w:rsid w:val="009E033C"/>
    <w:rsid w:val="009E05A0"/>
    <w:rsid w:val="009E060E"/>
    <w:rsid w:val="009E076E"/>
    <w:rsid w:val="009E0786"/>
    <w:rsid w:val="009E0A24"/>
    <w:rsid w:val="009E0B71"/>
    <w:rsid w:val="009E0B98"/>
    <w:rsid w:val="009E0BBA"/>
    <w:rsid w:val="009E0CA1"/>
    <w:rsid w:val="009E0FC9"/>
    <w:rsid w:val="009E0FEB"/>
    <w:rsid w:val="009E144F"/>
    <w:rsid w:val="009E151C"/>
    <w:rsid w:val="009E19BF"/>
    <w:rsid w:val="009E1B26"/>
    <w:rsid w:val="009E1C70"/>
    <w:rsid w:val="009E1DAB"/>
    <w:rsid w:val="009E1DE5"/>
    <w:rsid w:val="009E2135"/>
    <w:rsid w:val="009E220D"/>
    <w:rsid w:val="009E2243"/>
    <w:rsid w:val="009E228B"/>
    <w:rsid w:val="009E2654"/>
    <w:rsid w:val="009E26FF"/>
    <w:rsid w:val="009E2798"/>
    <w:rsid w:val="009E28B8"/>
    <w:rsid w:val="009E28E3"/>
    <w:rsid w:val="009E2EAA"/>
    <w:rsid w:val="009E2F38"/>
    <w:rsid w:val="009E2F5A"/>
    <w:rsid w:val="009E2FE4"/>
    <w:rsid w:val="009E356C"/>
    <w:rsid w:val="009E38D1"/>
    <w:rsid w:val="009E3C34"/>
    <w:rsid w:val="009E3CD3"/>
    <w:rsid w:val="009E3DBF"/>
    <w:rsid w:val="009E3F63"/>
    <w:rsid w:val="009E3FAF"/>
    <w:rsid w:val="009E4079"/>
    <w:rsid w:val="009E40ED"/>
    <w:rsid w:val="009E4101"/>
    <w:rsid w:val="009E415B"/>
    <w:rsid w:val="009E41DC"/>
    <w:rsid w:val="009E4374"/>
    <w:rsid w:val="009E448E"/>
    <w:rsid w:val="009E4586"/>
    <w:rsid w:val="009E4589"/>
    <w:rsid w:val="009E4655"/>
    <w:rsid w:val="009E46E1"/>
    <w:rsid w:val="009E476F"/>
    <w:rsid w:val="009E49E3"/>
    <w:rsid w:val="009E4C75"/>
    <w:rsid w:val="009E4E5C"/>
    <w:rsid w:val="009E534D"/>
    <w:rsid w:val="009E564C"/>
    <w:rsid w:val="009E5765"/>
    <w:rsid w:val="009E5B32"/>
    <w:rsid w:val="009E5D04"/>
    <w:rsid w:val="009E6150"/>
    <w:rsid w:val="009E61BC"/>
    <w:rsid w:val="009E63E9"/>
    <w:rsid w:val="009E6469"/>
    <w:rsid w:val="009E6519"/>
    <w:rsid w:val="009E69B8"/>
    <w:rsid w:val="009E6C59"/>
    <w:rsid w:val="009E721A"/>
    <w:rsid w:val="009E738B"/>
    <w:rsid w:val="009E741E"/>
    <w:rsid w:val="009E75F2"/>
    <w:rsid w:val="009E7961"/>
    <w:rsid w:val="009E7BB2"/>
    <w:rsid w:val="009E7C12"/>
    <w:rsid w:val="009E7C32"/>
    <w:rsid w:val="009E7C3F"/>
    <w:rsid w:val="009E7CE7"/>
    <w:rsid w:val="009E7E05"/>
    <w:rsid w:val="009F00D0"/>
    <w:rsid w:val="009F01C6"/>
    <w:rsid w:val="009F0228"/>
    <w:rsid w:val="009F02D2"/>
    <w:rsid w:val="009F0493"/>
    <w:rsid w:val="009F05B7"/>
    <w:rsid w:val="009F08EC"/>
    <w:rsid w:val="009F0C0B"/>
    <w:rsid w:val="009F0D78"/>
    <w:rsid w:val="009F0FEC"/>
    <w:rsid w:val="009F15FC"/>
    <w:rsid w:val="009F1644"/>
    <w:rsid w:val="009F1754"/>
    <w:rsid w:val="009F1794"/>
    <w:rsid w:val="009F1805"/>
    <w:rsid w:val="009F197F"/>
    <w:rsid w:val="009F1AE3"/>
    <w:rsid w:val="009F1AE8"/>
    <w:rsid w:val="009F1D14"/>
    <w:rsid w:val="009F2273"/>
    <w:rsid w:val="009F229F"/>
    <w:rsid w:val="009F22FA"/>
    <w:rsid w:val="009F2546"/>
    <w:rsid w:val="009F2964"/>
    <w:rsid w:val="009F2BBD"/>
    <w:rsid w:val="009F326A"/>
    <w:rsid w:val="009F3290"/>
    <w:rsid w:val="009F378C"/>
    <w:rsid w:val="009F37AB"/>
    <w:rsid w:val="009F3B67"/>
    <w:rsid w:val="009F3C6B"/>
    <w:rsid w:val="009F3D3D"/>
    <w:rsid w:val="009F4021"/>
    <w:rsid w:val="009F40FA"/>
    <w:rsid w:val="009F41D6"/>
    <w:rsid w:val="009F4430"/>
    <w:rsid w:val="009F452A"/>
    <w:rsid w:val="009F46AF"/>
    <w:rsid w:val="009F4834"/>
    <w:rsid w:val="009F4997"/>
    <w:rsid w:val="009F4AE4"/>
    <w:rsid w:val="009F4CC5"/>
    <w:rsid w:val="009F4DE4"/>
    <w:rsid w:val="009F4F4C"/>
    <w:rsid w:val="009F5124"/>
    <w:rsid w:val="009F58FB"/>
    <w:rsid w:val="009F5BD0"/>
    <w:rsid w:val="009F5D0C"/>
    <w:rsid w:val="009F5DA5"/>
    <w:rsid w:val="009F5F0E"/>
    <w:rsid w:val="009F6039"/>
    <w:rsid w:val="009F6070"/>
    <w:rsid w:val="009F61C7"/>
    <w:rsid w:val="009F65C6"/>
    <w:rsid w:val="009F661F"/>
    <w:rsid w:val="009F6631"/>
    <w:rsid w:val="009F66CE"/>
    <w:rsid w:val="009F6890"/>
    <w:rsid w:val="009F6B2E"/>
    <w:rsid w:val="009F6CCD"/>
    <w:rsid w:val="009F6D0C"/>
    <w:rsid w:val="009F6E3D"/>
    <w:rsid w:val="009F6F2C"/>
    <w:rsid w:val="009F6F8E"/>
    <w:rsid w:val="009F70C8"/>
    <w:rsid w:val="009F74F4"/>
    <w:rsid w:val="009F77BF"/>
    <w:rsid w:val="009F77F0"/>
    <w:rsid w:val="009F7B7A"/>
    <w:rsid w:val="009F7B8A"/>
    <w:rsid w:val="009F7E50"/>
    <w:rsid w:val="00A0003B"/>
    <w:rsid w:val="00A00177"/>
    <w:rsid w:val="00A0019A"/>
    <w:rsid w:val="00A00229"/>
    <w:rsid w:val="00A004C3"/>
    <w:rsid w:val="00A0062F"/>
    <w:rsid w:val="00A0079E"/>
    <w:rsid w:val="00A007F4"/>
    <w:rsid w:val="00A00AB6"/>
    <w:rsid w:val="00A00D9C"/>
    <w:rsid w:val="00A01011"/>
    <w:rsid w:val="00A01118"/>
    <w:rsid w:val="00A01377"/>
    <w:rsid w:val="00A013AD"/>
    <w:rsid w:val="00A017DD"/>
    <w:rsid w:val="00A0190A"/>
    <w:rsid w:val="00A01C59"/>
    <w:rsid w:val="00A01C8B"/>
    <w:rsid w:val="00A01CF0"/>
    <w:rsid w:val="00A01EFB"/>
    <w:rsid w:val="00A02082"/>
    <w:rsid w:val="00A0228A"/>
    <w:rsid w:val="00A0234B"/>
    <w:rsid w:val="00A02413"/>
    <w:rsid w:val="00A02659"/>
    <w:rsid w:val="00A02AD2"/>
    <w:rsid w:val="00A02DA8"/>
    <w:rsid w:val="00A02F04"/>
    <w:rsid w:val="00A02F94"/>
    <w:rsid w:val="00A031D1"/>
    <w:rsid w:val="00A031F8"/>
    <w:rsid w:val="00A0342D"/>
    <w:rsid w:val="00A03708"/>
    <w:rsid w:val="00A037FF"/>
    <w:rsid w:val="00A03CB2"/>
    <w:rsid w:val="00A03E9F"/>
    <w:rsid w:val="00A044F6"/>
    <w:rsid w:val="00A04520"/>
    <w:rsid w:val="00A046D0"/>
    <w:rsid w:val="00A0476E"/>
    <w:rsid w:val="00A048DE"/>
    <w:rsid w:val="00A048EF"/>
    <w:rsid w:val="00A04AB0"/>
    <w:rsid w:val="00A0526F"/>
    <w:rsid w:val="00A05333"/>
    <w:rsid w:val="00A0551B"/>
    <w:rsid w:val="00A055B8"/>
    <w:rsid w:val="00A0561B"/>
    <w:rsid w:val="00A0581C"/>
    <w:rsid w:val="00A05C97"/>
    <w:rsid w:val="00A05E7B"/>
    <w:rsid w:val="00A061A4"/>
    <w:rsid w:val="00A06201"/>
    <w:rsid w:val="00A062E3"/>
    <w:rsid w:val="00A06581"/>
    <w:rsid w:val="00A06618"/>
    <w:rsid w:val="00A066E3"/>
    <w:rsid w:val="00A069BA"/>
    <w:rsid w:val="00A06C4A"/>
    <w:rsid w:val="00A0715D"/>
    <w:rsid w:val="00A0770E"/>
    <w:rsid w:val="00A07714"/>
    <w:rsid w:val="00A07748"/>
    <w:rsid w:val="00A078F5"/>
    <w:rsid w:val="00A07945"/>
    <w:rsid w:val="00A07B8F"/>
    <w:rsid w:val="00A10038"/>
    <w:rsid w:val="00A100FE"/>
    <w:rsid w:val="00A104A6"/>
    <w:rsid w:val="00A1055F"/>
    <w:rsid w:val="00A107B0"/>
    <w:rsid w:val="00A10886"/>
    <w:rsid w:val="00A108B1"/>
    <w:rsid w:val="00A1097D"/>
    <w:rsid w:val="00A10BC9"/>
    <w:rsid w:val="00A10E56"/>
    <w:rsid w:val="00A11562"/>
    <w:rsid w:val="00A11609"/>
    <w:rsid w:val="00A11792"/>
    <w:rsid w:val="00A11B74"/>
    <w:rsid w:val="00A11B90"/>
    <w:rsid w:val="00A11BE8"/>
    <w:rsid w:val="00A11C1F"/>
    <w:rsid w:val="00A11E6B"/>
    <w:rsid w:val="00A12226"/>
    <w:rsid w:val="00A1228D"/>
    <w:rsid w:val="00A12338"/>
    <w:rsid w:val="00A128D1"/>
    <w:rsid w:val="00A12C0B"/>
    <w:rsid w:val="00A12DEB"/>
    <w:rsid w:val="00A12E85"/>
    <w:rsid w:val="00A12F02"/>
    <w:rsid w:val="00A1319C"/>
    <w:rsid w:val="00A1320A"/>
    <w:rsid w:val="00A13263"/>
    <w:rsid w:val="00A132F3"/>
    <w:rsid w:val="00A13600"/>
    <w:rsid w:val="00A138E3"/>
    <w:rsid w:val="00A13973"/>
    <w:rsid w:val="00A13A07"/>
    <w:rsid w:val="00A13A10"/>
    <w:rsid w:val="00A13B35"/>
    <w:rsid w:val="00A13F5F"/>
    <w:rsid w:val="00A14043"/>
    <w:rsid w:val="00A14388"/>
    <w:rsid w:val="00A149CE"/>
    <w:rsid w:val="00A14F4C"/>
    <w:rsid w:val="00A14FDD"/>
    <w:rsid w:val="00A15474"/>
    <w:rsid w:val="00A15562"/>
    <w:rsid w:val="00A155F9"/>
    <w:rsid w:val="00A1584C"/>
    <w:rsid w:val="00A1589F"/>
    <w:rsid w:val="00A15AF0"/>
    <w:rsid w:val="00A15BA8"/>
    <w:rsid w:val="00A15C55"/>
    <w:rsid w:val="00A15D1F"/>
    <w:rsid w:val="00A15DD8"/>
    <w:rsid w:val="00A15F73"/>
    <w:rsid w:val="00A15FED"/>
    <w:rsid w:val="00A16174"/>
    <w:rsid w:val="00A16268"/>
    <w:rsid w:val="00A16503"/>
    <w:rsid w:val="00A1659E"/>
    <w:rsid w:val="00A1659F"/>
    <w:rsid w:val="00A165CE"/>
    <w:rsid w:val="00A168F7"/>
    <w:rsid w:val="00A1692E"/>
    <w:rsid w:val="00A169E4"/>
    <w:rsid w:val="00A16B47"/>
    <w:rsid w:val="00A16BA5"/>
    <w:rsid w:val="00A1700C"/>
    <w:rsid w:val="00A17887"/>
    <w:rsid w:val="00A178A3"/>
    <w:rsid w:val="00A17B1D"/>
    <w:rsid w:val="00A17B32"/>
    <w:rsid w:val="00A17D08"/>
    <w:rsid w:val="00A1AA32"/>
    <w:rsid w:val="00A20349"/>
    <w:rsid w:val="00A20674"/>
    <w:rsid w:val="00A20777"/>
    <w:rsid w:val="00A20827"/>
    <w:rsid w:val="00A209A0"/>
    <w:rsid w:val="00A209B5"/>
    <w:rsid w:val="00A20FA2"/>
    <w:rsid w:val="00A21458"/>
    <w:rsid w:val="00A215DD"/>
    <w:rsid w:val="00A2166E"/>
    <w:rsid w:val="00A216F0"/>
    <w:rsid w:val="00A219C0"/>
    <w:rsid w:val="00A21BDF"/>
    <w:rsid w:val="00A21D6B"/>
    <w:rsid w:val="00A21F6E"/>
    <w:rsid w:val="00A22087"/>
    <w:rsid w:val="00A222E1"/>
    <w:rsid w:val="00A2249B"/>
    <w:rsid w:val="00A22500"/>
    <w:rsid w:val="00A22751"/>
    <w:rsid w:val="00A22B2F"/>
    <w:rsid w:val="00A22BF5"/>
    <w:rsid w:val="00A22C42"/>
    <w:rsid w:val="00A22E77"/>
    <w:rsid w:val="00A22ED8"/>
    <w:rsid w:val="00A23484"/>
    <w:rsid w:val="00A234EB"/>
    <w:rsid w:val="00A23565"/>
    <w:rsid w:val="00A23858"/>
    <w:rsid w:val="00A23B26"/>
    <w:rsid w:val="00A23CA1"/>
    <w:rsid w:val="00A23D4A"/>
    <w:rsid w:val="00A23FF6"/>
    <w:rsid w:val="00A241C3"/>
    <w:rsid w:val="00A24293"/>
    <w:rsid w:val="00A2429F"/>
    <w:rsid w:val="00A242BB"/>
    <w:rsid w:val="00A244BF"/>
    <w:rsid w:val="00A2470E"/>
    <w:rsid w:val="00A24D87"/>
    <w:rsid w:val="00A24F41"/>
    <w:rsid w:val="00A2506C"/>
    <w:rsid w:val="00A25210"/>
    <w:rsid w:val="00A25480"/>
    <w:rsid w:val="00A25560"/>
    <w:rsid w:val="00A2568C"/>
    <w:rsid w:val="00A25699"/>
    <w:rsid w:val="00A256EB"/>
    <w:rsid w:val="00A25863"/>
    <w:rsid w:val="00A258A5"/>
    <w:rsid w:val="00A25A02"/>
    <w:rsid w:val="00A25C02"/>
    <w:rsid w:val="00A25C05"/>
    <w:rsid w:val="00A25E94"/>
    <w:rsid w:val="00A25F84"/>
    <w:rsid w:val="00A26037"/>
    <w:rsid w:val="00A2628D"/>
    <w:rsid w:val="00A262EE"/>
    <w:rsid w:val="00A2656B"/>
    <w:rsid w:val="00A267D2"/>
    <w:rsid w:val="00A268D3"/>
    <w:rsid w:val="00A2696C"/>
    <w:rsid w:val="00A26A20"/>
    <w:rsid w:val="00A26A58"/>
    <w:rsid w:val="00A26D32"/>
    <w:rsid w:val="00A27169"/>
    <w:rsid w:val="00A271B2"/>
    <w:rsid w:val="00A27433"/>
    <w:rsid w:val="00A275AE"/>
    <w:rsid w:val="00A27638"/>
    <w:rsid w:val="00A2780F"/>
    <w:rsid w:val="00A278D7"/>
    <w:rsid w:val="00A27E3C"/>
    <w:rsid w:val="00A3026B"/>
    <w:rsid w:val="00A30278"/>
    <w:rsid w:val="00A30380"/>
    <w:rsid w:val="00A303D1"/>
    <w:rsid w:val="00A303F7"/>
    <w:rsid w:val="00A3061D"/>
    <w:rsid w:val="00A307A4"/>
    <w:rsid w:val="00A30A7D"/>
    <w:rsid w:val="00A30BC6"/>
    <w:rsid w:val="00A30D3C"/>
    <w:rsid w:val="00A312DC"/>
    <w:rsid w:val="00A312EF"/>
    <w:rsid w:val="00A31465"/>
    <w:rsid w:val="00A31479"/>
    <w:rsid w:val="00A314F3"/>
    <w:rsid w:val="00A317B9"/>
    <w:rsid w:val="00A31818"/>
    <w:rsid w:val="00A318BB"/>
    <w:rsid w:val="00A318F6"/>
    <w:rsid w:val="00A31A65"/>
    <w:rsid w:val="00A31B6E"/>
    <w:rsid w:val="00A31D3D"/>
    <w:rsid w:val="00A321BE"/>
    <w:rsid w:val="00A3222D"/>
    <w:rsid w:val="00A32359"/>
    <w:rsid w:val="00A324C7"/>
    <w:rsid w:val="00A32620"/>
    <w:rsid w:val="00A327BF"/>
    <w:rsid w:val="00A32ABB"/>
    <w:rsid w:val="00A32D5A"/>
    <w:rsid w:val="00A32D86"/>
    <w:rsid w:val="00A32EDA"/>
    <w:rsid w:val="00A32F3C"/>
    <w:rsid w:val="00A32F3E"/>
    <w:rsid w:val="00A32FCB"/>
    <w:rsid w:val="00A3320E"/>
    <w:rsid w:val="00A334EC"/>
    <w:rsid w:val="00A336A9"/>
    <w:rsid w:val="00A33783"/>
    <w:rsid w:val="00A337A5"/>
    <w:rsid w:val="00A339CB"/>
    <w:rsid w:val="00A33B24"/>
    <w:rsid w:val="00A33C79"/>
    <w:rsid w:val="00A33CDE"/>
    <w:rsid w:val="00A33D65"/>
    <w:rsid w:val="00A33F67"/>
    <w:rsid w:val="00A34031"/>
    <w:rsid w:val="00A34235"/>
    <w:rsid w:val="00A34269"/>
    <w:rsid w:val="00A347B7"/>
    <w:rsid w:val="00A347F8"/>
    <w:rsid w:val="00A34B27"/>
    <w:rsid w:val="00A34B93"/>
    <w:rsid w:val="00A34BC8"/>
    <w:rsid w:val="00A34CFF"/>
    <w:rsid w:val="00A34E6F"/>
    <w:rsid w:val="00A34EEC"/>
    <w:rsid w:val="00A34F6F"/>
    <w:rsid w:val="00A35111"/>
    <w:rsid w:val="00A35125"/>
    <w:rsid w:val="00A351E2"/>
    <w:rsid w:val="00A35299"/>
    <w:rsid w:val="00A352EE"/>
    <w:rsid w:val="00A35304"/>
    <w:rsid w:val="00A3532F"/>
    <w:rsid w:val="00A3537D"/>
    <w:rsid w:val="00A35671"/>
    <w:rsid w:val="00A3584F"/>
    <w:rsid w:val="00A358F3"/>
    <w:rsid w:val="00A359CA"/>
    <w:rsid w:val="00A35D9C"/>
    <w:rsid w:val="00A35E34"/>
    <w:rsid w:val="00A35E6B"/>
    <w:rsid w:val="00A362F9"/>
    <w:rsid w:val="00A3651F"/>
    <w:rsid w:val="00A36527"/>
    <w:rsid w:val="00A3656A"/>
    <w:rsid w:val="00A3657B"/>
    <w:rsid w:val="00A36580"/>
    <w:rsid w:val="00A367AE"/>
    <w:rsid w:val="00A3687C"/>
    <w:rsid w:val="00A3695F"/>
    <w:rsid w:val="00A36ACF"/>
    <w:rsid w:val="00A36C1E"/>
    <w:rsid w:val="00A3717C"/>
    <w:rsid w:val="00A37227"/>
    <w:rsid w:val="00A3726E"/>
    <w:rsid w:val="00A372D7"/>
    <w:rsid w:val="00A3745A"/>
    <w:rsid w:val="00A374C0"/>
    <w:rsid w:val="00A37947"/>
    <w:rsid w:val="00A3796A"/>
    <w:rsid w:val="00A37BE5"/>
    <w:rsid w:val="00A37C70"/>
    <w:rsid w:val="00A37CE5"/>
    <w:rsid w:val="00A37F59"/>
    <w:rsid w:val="00A37FFB"/>
    <w:rsid w:val="00A4012E"/>
    <w:rsid w:val="00A40143"/>
    <w:rsid w:val="00A40161"/>
    <w:rsid w:val="00A401C6"/>
    <w:rsid w:val="00A4029D"/>
    <w:rsid w:val="00A402E7"/>
    <w:rsid w:val="00A403FC"/>
    <w:rsid w:val="00A4045C"/>
    <w:rsid w:val="00A4047E"/>
    <w:rsid w:val="00A4065D"/>
    <w:rsid w:val="00A4077E"/>
    <w:rsid w:val="00A40876"/>
    <w:rsid w:val="00A40941"/>
    <w:rsid w:val="00A40AEC"/>
    <w:rsid w:val="00A40F31"/>
    <w:rsid w:val="00A4111D"/>
    <w:rsid w:val="00A413C6"/>
    <w:rsid w:val="00A416DC"/>
    <w:rsid w:val="00A417E3"/>
    <w:rsid w:val="00A41930"/>
    <w:rsid w:val="00A41BD0"/>
    <w:rsid w:val="00A41D9D"/>
    <w:rsid w:val="00A41F2C"/>
    <w:rsid w:val="00A41F37"/>
    <w:rsid w:val="00A42213"/>
    <w:rsid w:val="00A4238C"/>
    <w:rsid w:val="00A424D5"/>
    <w:rsid w:val="00A424DF"/>
    <w:rsid w:val="00A4250D"/>
    <w:rsid w:val="00A42587"/>
    <w:rsid w:val="00A427BA"/>
    <w:rsid w:val="00A42801"/>
    <w:rsid w:val="00A42ADB"/>
    <w:rsid w:val="00A42C33"/>
    <w:rsid w:val="00A42D09"/>
    <w:rsid w:val="00A42EBE"/>
    <w:rsid w:val="00A4314B"/>
    <w:rsid w:val="00A431B1"/>
    <w:rsid w:val="00A432F4"/>
    <w:rsid w:val="00A433AB"/>
    <w:rsid w:val="00A43411"/>
    <w:rsid w:val="00A43596"/>
    <w:rsid w:val="00A4359C"/>
    <w:rsid w:val="00A435C2"/>
    <w:rsid w:val="00A43684"/>
    <w:rsid w:val="00A438F7"/>
    <w:rsid w:val="00A43958"/>
    <w:rsid w:val="00A43BEE"/>
    <w:rsid w:val="00A43C5D"/>
    <w:rsid w:val="00A43D7D"/>
    <w:rsid w:val="00A43FF8"/>
    <w:rsid w:val="00A4426A"/>
    <w:rsid w:val="00A446E0"/>
    <w:rsid w:val="00A44716"/>
    <w:rsid w:val="00A44DEA"/>
    <w:rsid w:val="00A44F16"/>
    <w:rsid w:val="00A45473"/>
    <w:rsid w:val="00A45645"/>
    <w:rsid w:val="00A4588B"/>
    <w:rsid w:val="00A45D5F"/>
    <w:rsid w:val="00A4613A"/>
    <w:rsid w:val="00A4613F"/>
    <w:rsid w:val="00A46268"/>
    <w:rsid w:val="00A464B9"/>
    <w:rsid w:val="00A4653B"/>
    <w:rsid w:val="00A46576"/>
    <w:rsid w:val="00A466C1"/>
    <w:rsid w:val="00A46C12"/>
    <w:rsid w:val="00A46C8C"/>
    <w:rsid w:val="00A46CCF"/>
    <w:rsid w:val="00A4700D"/>
    <w:rsid w:val="00A4728B"/>
    <w:rsid w:val="00A47386"/>
    <w:rsid w:val="00A4773A"/>
    <w:rsid w:val="00A477C1"/>
    <w:rsid w:val="00A477E6"/>
    <w:rsid w:val="00A47809"/>
    <w:rsid w:val="00A478BC"/>
    <w:rsid w:val="00A47995"/>
    <w:rsid w:val="00A47CC2"/>
    <w:rsid w:val="00A47E16"/>
    <w:rsid w:val="00A47E76"/>
    <w:rsid w:val="00A47EE2"/>
    <w:rsid w:val="00A47FD3"/>
    <w:rsid w:val="00A5005D"/>
    <w:rsid w:val="00A505D8"/>
    <w:rsid w:val="00A50657"/>
    <w:rsid w:val="00A5067B"/>
    <w:rsid w:val="00A507CF"/>
    <w:rsid w:val="00A50A65"/>
    <w:rsid w:val="00A50AAC"/>
    <w:rsid w:val="00A50ACC"/>
    <w:rsid w:val="00A50D44"/>
    <w:rsid w:val="00A50F7A"/>
    <w:rsid w:val="00A50FC6"/>
    <w:rsid w:val="00A51337"/>
    <w:rsid w:val="00A5165E"/>
    <w:rsid w:val="00A516E5"/>
    <w:rsid w:val="00A51948"/>
    <w:rsid w:val="00A51A3D"/>
    <w:rsid w:val="00A51F8A"/>
    <w:rsid w:val="00A52284"/>
    <w:rsid w:val="00A523EE"/>
    <w:rsid w:val="00A52949"/>
    <w:rsid w:val="00A5294D"/>
    <w:rsid w:val="00A52C95"/>
    <w:rsid w:val="00A52CA6"/>
    <w:rsid w:val="00A52D17"/>
    <w:rsid w:val="00A52DE9"/>
    <w:rsid w:val="00A530BE"/>
    <w:rsid w:val="00A5320B"/>
    <w:rsid w:val="00A53705"/>
    <w:rsid w:val="00A53A2B"/>
    <w:rsid w:val="00A53CCF"/>
    <w:rsid w:val="00A53F10"/>
    <w:rsid w:val="00A53F64"/>
    <w:rsid w:val="00A542D6"/>
    <w:rsid w:val="00A544C3"/>
    <w:rsid w:val="00A54660"/>
    <w:rsid w:val="00A5471F"/>
    <w:rsid w:val="00A54BC0"/>
    <w:rsid w:val="00A54BDE"/>
    <w:rsid w:val="00A551B5"/>
    <w:rsid w:val="00A552F0"/>
    <w:rsid w:val="00A55693"/>
    <w:rsid w:val="00A5572B"/>
    <w:rsid w:val="00A558B0"/>
    <w:rsid w:val="00A55C94"/>
    <w:rsid w:val="00A55D3C"/>
    <w:rsid w:val="00A55D78"/>
    <w:rsid w:val="00A55D9D"/>
    <w:rsid w:val="00A55E52"/>
    <w:rsid w:val="00A564F7"/>
    <w:rsid w:val="00A564FA"/>
    <w:rsid w:val="00A56AB2"/>
    <w:rsid w:val="00A56CDF"/>
    <w:rsid w:val="00A56DF2"/>
    <w:rsid w:val="00A56E05"/>
    <w:rsid w:val="00A570C3"/>
    <w:rsid w:val="00A571D9"/>
    <w:rsid w:val="00A57518"/>
    <w:rsid w:val="00A57553"/>
    <w:rsid w:val="00A575A4"/>
    <w:rsid w:val="00A57762"/>
    <w:rsid w:val="00A578A7"/>
    <w:rsid w:val="00A57F49"/>
    <w:rsid w:val="00A60052"/>
    <w:rsid w:val="00A60057"/>
    <w:rsid w:val="00A6023C"/>
    <w:rsid w:val="00A60478"/>
    <w:rsid w:val="00A60685"/>
    <w:rsid w:val="00A60A05"/>
    <w:rsid w:val="00A60FBF"/>
    <w:rsid w:val="00A61128"/>
    <w:rsid w:val="00A61392"/>
    <w:rsid w:val="00A61467"/>
    <w:rsid w:val="00A61687"/>
    <w:rsid w:val="00A61B27"/>
    <w:rsid w:val="00A61B76"/>
    <w:rsid w:val="00A61EAB"/>
    <w:rsid w:val="00A61F8B"/>
    <w:rsid w:val="00A61FD3"/>
    <w:rsid w:val="00A62366"/>
    <w:rsid w:val="00A6241A"/>
    <w:rsid w:val="00A62516"/>
    <w:rsid w:val="00A626C9"/>
    <w:rsid w:val="00A62D44"/>
    <w:rsid w:val="00A63132"/>
    <w:rsid w:val="00A63364"/>
    <w:rsid w:val="00A6338B"/>
    <w:rsid w:val="00A63613"/>
    <w:rsid w:val="00A63953"/>
    <w:rsid w:val="00A639C6"/>
    <w:rsid w:val="00A63A2B"/>
    <w:rsid w:val="00A63A63"/>
    <w:rsid w:val="00A63FE4"/>
    <w:rsid w:val="00A64104"/>
    <w:rsid w:val="00A645CF"/>
    <w:rsid w:val="00A64698"/>
    <w:rsid w:val="00A6476B"/>
    <w:rsid w:val="00A64F3C"/>
    <w:rsid w:val="00A64FAB"/>
    <w:rsid w:val="00A64FD7"/>
    <w:rsid w:val="00A652C1"/>
    <w:rsid w:val="00A652D5"/>
    <w:rsid w:val="00A6552E"/>
    <w:rsid w:val="00A65587"/>
    <w:rsid w:val="00A655F9"/>
    <w:rsid w:val="00A658CA"/>
    <w:rsid w:val="00A658EA"/>
    <w:rsid w:val="00A65941"/>
    <w:rsid w:val="00A65D0A"/>
    <w:rsid w:val="00A65FD2"/>
    <w:rsid w:val="00A66486"/>
    <w:rsid w:val="00A665BB"/>
    <w:rsid w:val="00A666F9"/>
    <w:rsid w:val="00A6686F"/>
    <w:rsid w:val="00A6694A"/>
    <w:rsid w:val="00A66D48"/>
    <w:rsid w:val="00A66DA9"/>
    <w:rsid w:val="00A67041"/>
    <w:rsid w:val="00A67059"/>
    <w:rsid w:val="00A6725C"/>
    <w:rsid w:val="00A67396"/>
    <w:rsid w:val="00A673AC"/>
    <w:rsid w:val="00A70157"/>
    <w:rsid w:val="00A701E3"/>
    <w:rsid w:val="00A7029B"/>
    <w:rsid w:val="00A702AC"/>
    <w:rsid w:val="00A703A6"/>
    <w:rsid w:val="00A70621"/>
    <w:rsid w:val="00A707FD"/>
    <w:rsid w:val="00A70A24"/>
    <w:rsid w:val="00A70A56"/>
    <w:rsid w:val="00A70F47"/>
    <w:rsid w:val="00A71354"/>
    <w:rsid w:val="00A7140C"/>
    <w:rsid w:val="00A715B9"/>
    <w:rsid w:val="00A71612"/>
    <w:rsid w:val="00A71696"/>
    <w:rsid w:val="00A7192C"/>
    <w:rsid w:val="00A71B18"/>
    <w:rsid w:val="00A71D93"/>
    <w:rsid w:val="00A72102"/>
    <w:rsid w:val="00A72482"/>
    <w:rsid w:val="00A724E8"/>
    <w:rsid w:val="00A7257A"/>
    <w:rsid w:val="00A72736"/>
    <w:rsid w:val="00A727BC"/>
    <w:rsid w:val="00A727CC"/>
    <w:rsid w:val="00A729F2"/>
    <w:rsid w:val="00A72F0B"/>
    <w:rsid w:val="00A73402"/>
    <w:rsid w:val="00A73409"/>
    <w:rsid w:val="00A735BD"/>
    <w:rsid w:val="00A73673"/>
    <w:rsid w:val="00A73AB6"/>
    <w:rsid w:val="00A73AB7"/>
    <w:rsid w:val="00A73B65"/>
    <w:rsid w:val="00A73B71"/>
    <w:rsid w:val="00A73D00"/>
    <w:rsid w:val="00A73EDC"/>
    <w:rsid w:val="00A74133"/>
    <w:rsid w:val="00A7428B"/>
    <w:rsid w:val="00A749CD"/>
    <w:rsid w:val="00A74ABB"/>
    <w:rsid w:val="00A74E9B"/>
    <w:rsid w:val="00A750B4"/>
    <w:rsid w:val="00A75164"/>
    <w:rsid w:val="00A7534F"/>
    <w:rsid w:val="00A7581E"/>
    <w:rsid w:val="00A75C00"/>
    <w:rsid w:val="00A75D0A"/>
    <w:rsid w:val="00A75EE0"/>
    <w:rsid w:val="00A75FA3"/>
    <w:rsid w:val="00A75FA5"/>
    <w:rsid w:val="00A76014"/>
    <w:rsid w:val="00A762B2"/>
    <w:rsid w:val="00A76331"/>
    <w:rsid w:val="00A7653F"/>
    <w:rsid w:val="00A76575"/>
    <w:rsid w:val="00A765AF"/>
    <w:rsid w:val="00A766B0"/>
    <w:rsid w:val="00A769BC"/>
    <w:rsid w:val="00A76CBE"/>
    <w:rsid w:val="00A76CD7"/>
    <w:rsid w:val="00A76D18"/>
    <w:rsid w:val="00A76D9C"/>
    <w:rsid w:val="00A76ECF"/>
    <w:rsid w:val="00A775A8"/>
    <w:rsid w:val="00A77653"/>
    <w:rsid w:val="00A77794"/>
    <w:rsid w:val="00A7794D"/>
    <w:rsid w:val="00A77BBA"/>
    <w:rsid w:val="00A77EBE"/>
    <w:rsid w:val="00A77FA8"/>
    <w:rsid w:val="00A8000D"/>
    <w:rsid w:val="00A80579"/>
    <w:rsid w:val="00A805C9"/>
    <w:rsid w:val="00A806A4"/>
    <w:rsid w:val="00A806DA"/>
    <w:rsid w:val="00A80700"/>
    <w:rsid w:val="00A8086B"/>
    <w:rsid w:val="00A80897"/>
    <w:rsid w:val="00A808F2"/>
    <w:rsid w:val="00A80A87"/>
    <w:rsid w:val="00A80D09"/>
    <w:rsid w:val="00A80E04"/>
    <w:rsid w:val="00A81129"/>
    <w:rsid w:val="00A8116D"/>
    <w:rsid w:val="00A81239"/>
    <w:rsid w:val="00A8133F"/>
    <w:rsid w:val="00A81488"/>
    <w:rsid w:val="00A814D2"/>
    <w:rsid w:val="00A81592"/>
    <w:rsid w:val="00A816DB"/>
    <w:rsid w:val="00A817CF"/>
    <w:rsid w:val="00A81D1F"/>
    <w:rsid w:val="00A81D3A"/>
    <w:rsid w:val="00A81D64"/>
    <w:rsid w:val="00A81E00"/>
    <w:rsid w:val="00A8203F"/>
    <w:rsid w:val="00A820DD"/>
    <w:rsid w:val="00A82932"/>
    <w:rsid w:val="00A82A52"/>
    <w:rsid w:val="00A82E72"/>
    <w:rsid w:val="00A83050"/>
    <w:rsid w:val="00A831FD"/>
    <w:rsid w:val="00A832BB"/>
    <w:rsid w:val="00A83388"/>
    <w:rsid w:val="00A833A0"/>
    <w:rsid w:val="00A8342D"/>
    <w:rsid w:val="00A83458"/>
    <w:rsid w:val="00A83812"/>
    <w:rsid w:val="00A83960"/>
    <w:rsid w:val="00A83DE9"/>
    <w:rsid w:val="00A840F1"/>
    <w:rsid w:val="00A841AA"/>
    <w:rsid w:val="00A8448E"/>
    <w:rsid w:val="00A84519"/>
    <w:rsid w:val="00A8453F"/>
    <w:rsid w:val="00A845C3"/>
    <w:rsid w:val="00A8463A"/>
    <w:rsid w:val="00A84652"/>
    <w:rsid w:val="00A8474C"/>
    <w:rsid w:val="00A847C7"/>
    <w:rsid w:val="00A84800"/>
    <w:rsid w:val="00A8499E"/>
    <w:rsid w:val="00A84DB4"/>
    <w:rsid w:val="00A84E4B"/>
    <w:rsid w:val="00A84F9B"/>
    <w:rsid w:val="00A850B4"/>
    <w:rsid w:val="00A85123"/>
    <w:rsid w:val="00A85165"/>
    <w:rsid w:val="00A851A8"/>
    <w:rsid w:val="00A852AB"/>
    <w:rsid w:val="00A853E3"/>
    <w:rsid w:val="00A854E3"/>
    <w:rsid w:val="00A8552A"/>
    <w:rsid w:val="00A86047"/>
    <w:rsid w:val="00A861DC"/>
    <w:rsid w:val="00A86548"/>
    <w:rsid w:val="00A86627"/>
    <w:rsid w:val="00A8691E"/>
    <w:rsid w:val="00A86BAD"/>
    <w:rsid w:val="00A86CF2"/>
    <w:rsid w:val="00A86EC1"/>
    <w:rsid w:val="00A87971"/>
    <w:rsid w:val="00A87AD3"/>
    <w:rsid w:val="00A87B49"/>
    <w:rsid w:val="00A87C94"/>
    <w:rsid w:val="00A9002A"/>
    <w:rsid w:val="00A901F2"/>
    <w:rsid w:val="00A90906"/>
    <w:rsid w:val="00A90D6F"/>
    <w:rsid w:val="00A90DCA"/>
    <w:rsid w:val="00A90E22"/>
    <w:rsid w:val="00A91129"/>
    <w:rsid w:val="00A913C0"/>
    <w:rsid w:val="00A91A26"/>
    <w:rsid w:val="00A91CB3"/>
    <w:rsid w:val="00A91CF3"/>
    <w:rsid w:val="00A920B3"/>
    <w:rsid w:val="00A926C7"/>
    <w:rsid w:val="00A927FF"/>
    <w:rsid w:val="00A92830"/>
    <w:rsid w:val="00A92D9D"/>
    <w:rsid w:val="00A932B4"/>
    <w:rsid w:val="00A934AE"/>
    <w:rsid w:val="00A93644"/>
    <w:rsid w:val="00A93797"/>
    <w:rsid w:val="00A93837"/>
    <w:rsid w:val="00A939B9"/>
    <w:rsid w:val="00A93C82"/>
    <w:rsid w:val="00A93DC7"/>
    <w:rsid w:val="00A94311"/>
    <w:rsid w:val="00A94710"/>
    <w:rsid w:val="00A9499F"/>
    <w:rsid w:val="00A949DA"/>
    <w:rsid w:val="00A94C81"/>
    <w:rsid w:val="00A94FAC"/>
    <w:rsid w:val="00A953AF"/>
    <w:rsid w:val="00A9556F"/>
    <w:rsid w:val="00A95578"/>
    <w:rsid w:val="00A955A9"/>
    <w:rsid w:val="00A9567D"/>
    <w:rsid w:val="00A95912"/>
    <w:rsid w:val="00A9592E"/>
    <w:rsid w:val="00A95ADB"/>
    <w:rsid w:val="00A95BBE"/>
    <w:rsid w:val="00A96758"/>
    <w:rsid w:val="00A96CDA"/>
    <w:rsid w:val="00A96F45"/>
    <w:rsid w:val="00A975AA"/>
    <w:rsid w:val="00A97AA9"/>
    <w:rsid w:val="00A97D59"/>
    <w:rsid w:val="00A97E1E"/>
    <w:rsid w:val="00A97EB4"/>
    <w:rsid w:val="00A97F32"/>
    <w:rsid w:val="00AA0354"/>
    <w:rsid w:val="00AA0574"/>
    <w:rsid w:val="00AA0626"/>
    <w:rsid w:val="00AA0630"/>
    <w:rsid w:val="00AA08EB"/>
    <w:rsid w:val="00AA0914"/>
    <w:rsid w:val="00AA09A4"/>
    <w:rsid w:val="00AA0A6C"/>
    <w:rsid w:val="00AA0C45"/>
    <w:rsid w:val="00AA0F30"/>
    <w:rsid w:val="00AA10FC"/>
    <w:rsid w:val="00AA110D"/>
    <w:rsid w:val="00AA112C"/>
    <w:rsid w:val="00AA13DF"/>
    <w:rsid w:val="00AA140A"/>
    <w:rsid w:val="00AA154A"/>
    <w:rsid w:val="00AA1A50"/>
    <w:rsid w:val="00AA1A98"/>
    <w:rsid w:val="00AA1C8F"/>
    <w:rsid w:val="00AA1F38"/>
    <w:rsid w:val="00AA1FBC"/>
    <w:rsid w:val="00AA240F"/>
    <w:rsid w:val="00AA2451"/>
    <w:rsid w:val="00AA2F41"/>
    <w:rsid w:val="00AA305A"/>
    <w:rsid w:val="00AA3137"/>
    <w:rsid w:val="00AA318F"/>
    <w:rsid w:val="00AA335A"/>
    <w:rsid w:val="00AA35EE"/>
    <w:rsid w:val="00AA360A"/>
    <w:rsid w:val="00AA36F9"/>
    <w:rsid w:val="00AA39A7"/>
    <w:rsid w:val="00AA3B9E"/>
    <w:rsid w:val="00AA4277"/>
    <w:rsid w:val="00AA45F1"/>
    <w:rsid w:val="00AA4604"/>
    <w:rsid w:val="00AA46DD"/>
    <w:rsid w:val="00AA478B"/>
    <w:rsid w:val="00AA4791"/>
    <w:rsid w:val="00AA48D9"/>
    <w:rsid w:val="00AA4B96"/>
    <w:rsid w:val="00AA4BF0"/>
    <w:rsid w:val="00AA4D0C"/>
    <w:rsid w:val="00AA4EEC"/>
    <w:rsid w:val="00AA4F26"/>
    <w:rsid w:val="00AA5062"/>
    <w:rsid w:val="00AA5215"/>
    <w:rsid w:val="00AA5298"/>
    <w:rsid w:val="00AA52A2"/>
    <w:rsid w:val="00AA5360"/>
    <w:rsid w:val="00AA560D"/>
    <w:rsid w:val="00AA5778"/>
    <w:rsid w:val="00AA57B8"/>
    <w:rsid w:val="00AA5B4B"/>
    <w:rsid w:val="00AA5C57"/>
    <w:rsid w:val="00AA5DA0"/>
    <w:rsid w:val="00AA5E5D"/>
    <w:rsid w:val="00AA630B"/>
    <w:rsid w:val="00AA63C8"/>
    <w:rsid w:val="00AA6432"/>
    <w:rsid w:val="00AA66E7"/>
    <w:rsid w:val="00AA6AEE"/>
    <w:rsid w:val="00AA6D6F"/>
    <w:rsid w:val="00AA711F"/>
    <w:rsid w:val="00AA730A"/>
    <w:rsid w:val="00AA73F9"/>
    <w:rsid w:val="00AA7412"/>
    <w:rsid w:val="00AA75EC"/>
    <w:rsid w:val="00AA7E2F"/>
    <w:rsid w:val="00AA7E7B"/>
    <w:rsid w:val="00AA7F35"/>
    <w:rsid w:val="00AA7FDF"/>
    <w:rsid w:val="00AA7FF3"/>
    <w:rsid w:val="00AB053F"/>
    <w:rsid w:val="00AB0CB2"/>
    <w:rsid w:val="00AB1199"/>
    <w:rsid w:val="00AB139D"/>
    <w:rsid w:val="00AB154A"/>
    <w:rsid w:val="00AB15F1"/>
    <w:rsid w:val="00AB1644"/>
    <w:rsid w:val="00AB16A5"/>
    <w:rsid w:val="00AB194F"/>
    <w:rsid w:val="00AB1C00"/>
    <w:rsid w:val="00AB1D6F"/>
    <w:rsid w:val="00AB1DBE"/>
    <w:rsid w:val="00AB1E71"/>
    <w:rsid w:val="00AB20FC"/>
    <w:rsid w:val="00AB2485"/>
    <w:rsid w:val="00AB25F0"/>
    <w:rsid w:val="00AB27A6"/>
    <w:rsid w:val="00AB2A9A"/>
    <w:rsid w:val="00AB2DB7"/>
    <w:rsid w:val="00AB2EBA"/>
    <w:rsid w:val="00AB3310"/>
    <w:rsid w:val="00AB345D"/>
    <w:rsid w:val="00AB35EA"/>
    <w:rsid w:val="00AB38B8"/>
    <w:rsid w:val="00AB395F"/>
    <w:rsid w:val="00AB3C41"/>
    <w:rsid w:val="00AB3E17"/>
    <w:rsid w:val="00AB4426"/>
    <w:rsid w:val="00AB44B2"/>
    <w:rsid w:val="00AB451D"/>
    <w:rsid w:val="00AB47FF"/>
    <w:rsid w:val="00AB49FA"/>
    <w:rsid w:val="00AB4C21"/>
    <w:rsid w:val="00AB4E2C"/>
    <w:rsid w:val="00AB5090"/>
    <w:rsid w:val="00AB53B3"/>
    <w:rsid w:val="00AB56A3"/>
    <w:rsid w:val="00AB56C4"/>
    <w:rsid w:val="00AB5975"/>
    <w:rsid w:val="00AB5A5B"/>
    <w:rsid w:val="00AB6246"/>
    <w:rsid w:val="00AB63BC"/>
    <w:rsid w:val="00AB63F3"/>
    <w:rsid w:val="00AB640C"/>
    <w:rsid w:val="00AB6493"/>
    <w:rsid w:val="00AB6706"/>
    <w:rsid w:val="00AB6ACF"/>
    <w:rsid w:val="00AB6AD0"/>
    <w:rsid w:val="00AB6C0B"/>
    <w:rsid w:val="00AB6D32"/>
    <w:rsid w:val="00AB6DA7"/>
    <w:rsid w:val="00AB6E20"/>
    <w:rsid w:val="00AB6EFB"/>
    <w:rsid w:val="00AB7041"/>
    <w:rsid w:val="00AB70B3"/>
    <w:rsid w:val="00AB71B8"/>
    <w:rsid w:val="00AB71FA"/>
    <w:rsid w:val="00AB756C"/>
    <w:rsid w:val="00AB7849"/>
    <w:rsid w:val="00AB78EB"/>
    <w:rsid w:val="00AB7BE6"/>
    <w:rsid w:val="00AB7D0D"/>
    <w:rsid w:val="00AB7E60"/>
    <w:rsid w:val="00AB7ED8"/>
    <w:rsid w:val="00AC031F"/>
    <w:rsid w:val="00AC038D"/>
    <w:rsid w:val="00AC04ED"/>
    <w:rsid w:val="00AC05BC"/>
    <w:rsid w:val="00AC060F"/>
    <w:rsid w:val="00AC0C98"/>
    <w:rsid w:val="00AC0CCF"/>
    <w:rsid w:val="00AC0E7D"/>
    <w:rsid w:val="00AC0F7C"/>
    <w:rsid w:val="00AC0FD4"/>
    <w:rsid w:val="00AC1356"/>
    <w:rsid w:val="00AC1396"/>
    <w:rsid w:val="00AC1602"/>
    <w:rsid w:val="00AC1743"/>
    <w:rsid w:val="00AC18BA"/>
    <w:rsid w:val="00AC1AED"/>
    <w:rsid w:val="00AC1AFB"/>
    <w:rsid w:val="00AC1B10"/>
    <w:rsid w:val="00AC1C4C"/>
    <w:rsid w:val="00AC1EF7"/>
    <w:rsid w:val="00AC286E"/>
    <w:rsid w:val="00AC2A85"/>
    <w:rsid w:val="00AC2BC5"/>
    <w:rsid w:val="00AC2BD3"/>
    <w:rsid w:val="00AC2BF1"/>
    <w:rsid w:val="00AC2C0A"/>
    <w:rsid w:val="00AC2C1B"/>
    <w:rsid w:val="00AC2CA8"/>
    <w:rsid w:val="00AC2D01"/>
    <w:rsid w:val="00AC2F23"/>
    <w:rsid w:val="00AC2FCA"/>
    <w:rsid w:val="00AC316F"/>
    <w:rsid w:val="00AC370B"/>
    <w:rsid w:val="00AC3779"/>
    <w:rsid w:val="00AC3A7E"/>
    <w:rsid w:val="00AC3BD6"/>
    <w:rsid w:val="00AC3E07"/>
    <w:rsid w:val="00AC3E0E"/>
    <w:rsid w:val="00AC3E66"/>
    <w:rsid w:val="00AC3ECB"/>
    <w:rsid w:val="00AC3F2C"/>
    <w:rsid w:val="00AC40F0"/>
    <w:rsid w:val="00AC42EA"/>
    <w:rsid w:val="00AC43C7"/>
    <w:rsid w:val="00AC4600"/>
    <w:rsid w:val="00AC4851"/>
    <w:rsid w:val="00AC4C05"/>
    <w:rsid w:val="00AC4CAE"/>
    <w:rsid w:val="00AC4DCD"/>
    <w:rsid w:val="00AC4DE1"/>
    <w:rsid w:val="00AC4FB8"/>
    <w:rsid w:val="00AC4FEF"/>
    <w:rsid w:val="00AC5329"/>
    <w:rsid w:val="00AC53EE"/>
    <w:rsid w:val="00AC5489"/>
    <w:rsid w:val="00AC5607"/>
    <w:rsid w:val="00AC5879"/>
    <w:rsid w:val="00AC5CFA"/>
    <w:rsid w:val="00AC5D52"/>
    <w:rsid w:val="00AC5E96"/>
    <w:rsid w:val="00AC61AD"/>
    <w:rsid w:val="00AC62DE"/>
    <w:rsid w:val="00AC6514"/>
    <w:rsid w:val="00AC6628"/>
    <w:rsid w:val="00AC668E"/>
    <w:rsid w:val="00AC6983"/>
    <w:rsid w:val="00AC6AA1"/>
    <w:rsid w:val="00AC6ABA"/>
    <w:rsid w:val="00AC6B0C"/>
    <w:rsid w:val="00AC6B6F"/>
    <w:rsid w:val="00AC707A"/>
    <w:rsid w:val="00AC70A9"/>
    <w:rsid w:val="00AC7345"/>
    <w:rsid w:val="00AC75CD"/>
    <w:rsid w:val="00AC7618"/>
    <w:rsid w:val="00AC777B"/>
    <w:rsid w:val="00AC7791"/>
    <w:rsid w:val="00AC7961"/>
    <w:rsid w:val="00AC7B3A"/>
    <w:rsid w:val="00AC7BF5"/>
    <w:rsid w:val="00AC7C0C"/>
    <w:rsid w:val="00AC7CF0"/>
    <w:rsid w:val="00AC7DC0"/>
    <w:rsid w:val="00AC7E04"/>
    <w:rsid w:val="00AC7EB4"/>
    <w:rsid w:val="00AD00EE"/>
    <w:rsid w:val="00AD09B4"/>
    <w:rsid w:val="00AD0A82"/>
    <w:rsid w:val="00AD0D80"/>
    <w:rsid w:val="00AD0F39"/>
    <w:rsid w:val="00AD1269"/>
    <w:rsid w:val="00AD1322"/>
    <w:rsid w:val="00AD17F3"/>
    <w:rsid w:val="00AD197C"/>
    <w:rsid w:val="00AD1BE8"/>
    <w:rsid w:val="00AD1C80"/>
    <w:rsid w:val="00AD1DA1"/>
    <w:rsid w:val="00AD2040"/>
    <w:rsid w:val="00AD20FE"/>
    <w:rsid w:val="00AD21F0"/>
    <w:rsid w:val="00AD2273"/>
    <w:rsid w:val="00AD22D8"/>
    <w:rsid w:val="00AD23E9"/>
    <w:rsid w:val="00AD240F"/>
    <w:rsid w:val="00AD24F8"/>
    <w:rsid w:val="00AD254E"/>
    <w:rsid w:val="00AD26F4"/>
    <w:rsid w:val="00AD29C3"/>
    <w:rsid w:val="00AD2CF2"/>
    <w:rsid w:val="00AD3065"/>
    <w:rsid w:val="00AD30E2"/>
    <w:rsid w:val="00AD3356"/>
    <w:rsid w:val="00AD38C2"/>
    <w:rsid w:val="00AD3B14"/>
    <w:rsid w:val="00AD3C51"/>
    <w:rsid w:val="00AD3C69"/>
    <w:rsid w:val="00AD3DF0"/>
    <w:rsid w:val="00AD3FE2"/>
    <w:rsid w:val="00AD44C0"/>
    <w:rsid w:val="00AD451D"/>
    <w:rsid w:val="00AD47BC"/>
    <w:rsid w:val="00AD4A27"/>
    <w:rsid w:val="00AD4A4E"/>
    <w:rsid w:val="00AD4A63"/>
    <w:rsid w:val="00AD4A8A"/>
    <w:rsid w:val="00AD4C69"/>
    <w:rsid w:val="00AD5057"/>
    <w:rsid w:val="00AD510A"/>
    <w:rsid w:val="00AD56C2"/>
    <w:rsid w:val="00AD5760"/>
    <w:rsid w:val="00AD57CC"/>
    <w:rsid w:val="00AD57E4"/>
    <w:rsid w:val="00AD586C"/>
    <w:rsid w:val="00AD58FC"/>
    <w:rsid w:val="00AD593E"/>
    <w:rsid w:val="00AD5A46"/>
    <w:rsid w:val="00AD5AB1"/>
    <w:rsid w:val="00AD5BA9"/>
    <w:rsid w:val="00AD5BFA"/>
    <w:rsid w:val="00AD5CD2"/>
    <w:rsid w:val="00AD5D27"/>
    <w:rsid w:val="00AD5ECD"/>
    <w:rsid w:val="00AD6352"/>
    <w:rsid w:val="00AD63F3"/>
    <w:rsid w:val="00AD6611"/>
    <w:rsid w:val="00AD673A"/>
    <w:rsid w:val="00AD6802"/>
    <w:rsid w:val="00AD6A01"/>
    <w:rsid w:val="00AD6C3D"/>
    <w:rsid w:val="00AD6CB1"/>
    <w:rsid w:val="00AD6DA3"/>
    <w:rsid w:val="00AD6E28"/>
    <w:rsid w:val="00AD6E46"/>
    <w:rsid w:val="00AD6E9B"/>
    <w:rsid w:val="00AD6F07"/>
    <w:rsid w:val="00AD7022"/>
    <w:rsid w:val="00AD7100"/>
    <w:rsid w:val="00AD73E3"/>
    <w:rsid w:val="00AD75F1"/>
    <w:rsid w:val="00AD79CE"/>
    <w:rsid w:val="00AD79D8"/>
    <w:rsid w:val="00AD7BD7"/>
    <w:rsid w:val="00AD7C01"/>
    <w:rsid w:val="00AD7F2B"/>
    <w:rsid w:val="00AE01E8"/>
    <w:rsid w:val="00AE0D16"/>
    <w:rsid w:val="00AE0D2E"/>
    <w:rsid w:val="00AE0DEF"/>
    <w:rsid w:val="00AE128A"/>
    <w:rsid w:val="00AE1525"/>
    <w:rsid w:val="00AE1597"/>
    <w:rsid w:val="00AE169B"/>
    <w:rsid w:val="00AE1B63"/>
    <w:rsid w:val="00AE1E66"/>
    <w:rsid w:val="00AE2057"/>
    <w:rsid w:val="00AE210A"/>
    <w:rsid w:val="00AE2475"/>
    <w:rsid w:val="00AE26F7"/>
    <w:rsid w:val="00AE272C"/>
    <w:rsid w:val="00AE2961"/>
    <w:rsid w:val="00AE2EC0"/>
    <w:rsid w:val="00AE2FA1"/>
    <w:rsid w:val="00AE3166"/>
    <w:rsid w:val="00AE332F"/>
    <w:rsid w:val="00AE336A"/>
    <w:rsid w:val="00AE336F"/>
    <w:rsid w:val="00AE3375"/>
    <w:rsid w:val="00AE3487"/>
    <w:rsid w:val="00AE36C2"/>
    <w:rsid w:val="00AE3953"/>
    <w:rsid w:val="00AE3AB9"/>
    <w:rsid w:val="00AE3B53"/>
    <w:rsid w:val="00AE3BA8"/>
    <w:rsid w:val="00AE3D36"/>
    <w:rsid w:val="00AE3E4D"/>
    <w:rsid w:val="00AE41AD"/>
    <w:rsid w:val="00AE42B3"/>
    <w:rsid w:val="00AE4381"/>
    <w:rsid w:val="00AE453B"/>
    <w:rsid w:val="00AE46E1"/>
    <w:rsid w:val="00AE48F8"/>
    <w:rsid w:val="00AE4993"/>
    <w:rsid w:val="00AE4A04"/>
    <w:rsid w:val="00AE4B62"/>
    <w:rsid w:val="00AE4D41"/>
    <w:rsid w:val="00AE50B2"/>
    <w:rsid w:val="00AE51B2"/>
    <w:rsid w:val="00AE52DF"/>
    <w:rsid w:val="00AE54AD"/>
    <w:rsid w:val="00AE56B5"/>
    <w:rsid w:val="00AE5701"/>
    <w:rsid w:val="00AE57B2"/>
    <w:rsid w:val="00AE5830"/>
    <w:rsid w:val="00AE5DD7"/>
    <w:rsid w:val="00AE5F42"/>
    <w:rsid w:val="00AE6447"/>
    <w:rsid w:val="00AE65D8"/>
    <w:rsid w:val="00AE6803"/>
    <w:rsid w:val="00AE690F"/>
    <w:rsid w:val="00AE695A"/>
    <w:rsid w:val="00AE6A26"/>
    <w:rsid w:val="00AE6AFA"/>
    <w:rsid w:val="00AE6CD0"/>
    <w:rsid w:val="00AE7046"/>
    <w:rsid w:val="00AE70DF"/>
    <w:rsid w:val="00AE7185"/>
    <w:rsid w:val="00AE7355"/>
    <w:rsid w:val="00AE7574"/>
    <w:rsid w:val="00AE75D6"/>
    <w:rsid w:val="00AE76AE"/>
    <w:rsid w:val="00AE77FC"/>
    <w:rsid w:val="00AE7B10"/>
    <w:rsid w:val="00AE7B45"/>
    <w:rsid w:val="00AE7C09"/>
    <w:rsid w:val="00AE7C4F"/>
    <w:rsid w:val="00AE7FAF"/>
    <w:rsid w:val="00AE7FB3"/>
    <w:rsid w:val="00AF0090"/>
    <w:rsid w:val="00AF034C"/>
    <w:rsid w:val="00AF0404"/>
    <w:rsid w:val="00AF0531"/>
    <w:rsid w:val="00AF07BD"/>
    <w:rsid w:val="00AF09EB"/>
    <w:rsid w:val="00AF0A5E"/>
    <w:rsid w:val="00AF0BAF"/>
    <w:rsid w:val="00AF0C1B"/>
    <w:rsid w:val="00AF0CCB"/>
    <w:rsid w:val="00AF0D1C"/>
    <w:rsid w:val="00AF0E29"/>
    <w:rsid w:val="00AF0FF4"/>
    <w:rsid w:val="00AF1007"/>
    <w:rsid w:val="00AF115E"/>
    <w:rsid w:val="00AF1730"/>
    <w:rsid w:val="00AF17A0"/>
    <w:rsid w:val="00AF19DB"/>
    <w:rsid w:val="00AF1CFA"/>
    <w:rsid w:val="00AF1F98"/>
    <w:rsid w:val="00AF219E"/>
    <w:rsid w:val="00AF22CC"/>
    <w:rsid w:val="00AF24AD"/>
    <w:rsid w:val="00AF25B3"/>
    <w:rsid w:val="00AF2645"/>
    <w:rsid w:val="00AF2926"/>
    <w:rsid w:val="00AF2D06"/>
    <w:rsid w:val="00AF31BB"/>
    <w:rsid w:val="00AF3245"/>
    <w:rsid w:val="00AF3A98"/>
    <w:rsid w:val="00AF3E5B"/>
    <w:rsid w:val="00AF3F75"/>
    <w:rsid w:val="00AF3FFA"/>
    <w:rsid w:val="00AF41CB"/>
    <w:rsid w:val="00AF4264"/>
    <w:rsid w:val="00AF4375"/>
    <w:rsid w:val="00AF44AB"/>
    <w:rsid w:val="00AF44BD"/>
    <w:rsid w:val="00AF44D2"/>
    <w:rsid w:val="00AF495D"/>
    <w:rsid w:val="00AF54E6"/>
    <w:rsid w:val="00AF57E8"/>
    <w:rsid w:val="00AF5935"/>
    <w:rsid w:val="00AF5B91"/>
    <w:rsid w:val="00AF5CC4"/>
    <w:rsid w:val="00AF60B7"/>
    <w:rsid w:val="00AF6228"/>
    <w:rsid w:val="00AF630E"/>
    <w:rsid w:val="00AF65BF"/>
    <w:rsid w:val="00AF685E"/>
    <w:rsid w:val="00AF6A3D"/>
    <w:rsid w:val="00AF6A8C"/>
    <w:rsid w:val="00AF6FC4"/>
    <w:rsid w:val="00AF7094"/>
    <w:rsid w:val="00AF70B6"/>
    <w:rsid w:val="00AF749A"/>
    <w:rsid w:val="00AF75A0"/>
    <w:rsid w:val="00AF76E7"/>
    <w:rsid w:val="00AF7794"/>
    <w:rsid w:val="00AF7B9E"/>
    <w:rsid w:val="00AF7C4F"/>
    <w:rsid w:val="00AF7EC9"/>
    <w:rsid w:val="00AF7F56"/>
    <w:rsid w:val="00B00200"/>
    <w:rsid w:val="00B002A5"/>
    <w:rsid w:val="00B002AB"/>
    <w:rsid w:val="00B0054E"/>
    <w:rsid w:val="00B00C7D"/>
    <w:rsid w:val="00B0101B"/>
    <w:rsid w:val="00B0109D"/>
    <w:rsid w:val="00B012F2"/>
    <w:rsid w:val="00B0138A"/>
    <w:rsid w:val="00B014D2"/>
    <w:rsid w:val="00B0151E"/>
    <w:rsid w:val="00B01726"/>
    <w:rsid w:val="00B017E3"/>
    <w:rsid w:val="00B0190F"/>
    <w:rsid w:val="00B01F83"/>
    <w:rsid w:val="00B01F9F"/>
    <w:rsid w:val="00B02050"/>
    <w:rsid w:val="00B020E6"/>
    <w:rsid w:val="00B02113"/>
    <w:rsid w:val="00B0218B"/>
    <w:rsid w:val="00B02563"/>
    <w:rsid w:val="00B025F7"/>
    <w:rsid w:val="00B0269F"/>
    <w:rsid w:val="00B02993"/>
    <w:rsid w:val="00B02A03"/>
    <w:rsid w:val="00B02B16"/>
    <w:rsid w:val="00B02B48"/>
    <w:rsid w:val="00B02BAF"/>
    <w:rsid w:val="00B02CD3"/>
    <w:rsid w:val="00B02E6C"/>
    <w:rsid w:val="00B02E80"/>
    <w:rsid w:val="00B02E97"/>
    <w:rsid w:val="00B02F59"/>
    <w:rsid w:val="00B030C9"/>
    <w:rsid w:val="00B03138"/>
    <w:rsid w:val="00B03320"/>
    <w:rsid w:val="00B0337F"/>
    <w:rsid w:val="00B033EA"/>
    <w:rsid w:val="00B036D7"/>
    <w:rsid w:val="00B0400D"/>
    <w:rsid w:val="00B0401D"/>
    <w:rsid w:val="00B04396"/>
    <w:rsid w:val="00B04504"/>
    <w:rsid w:val="00B0460F"/>
    <w:rsid w:val="00B04A49"/>
    <w:rsid w:val="00B04AD9"/>
    <w:rsid w:val="00B04BD7"/>
    <w:rsid w:val="00B04E2D"/>
    <w:rsid w:val="00B04FF9"/>
    <w:rsid w:val="00B05070"/>
    <w:rsid w:val="00B05080"/>
    <w:rsid w:val="00B051F7"/>
    <w:rsid w:val="00B05261"/>
    <w:rsid w:val="00B05643"/>
    <w:rsid w:val="00B058BA"/>
    <w:rsid w:val="00B05ADE"/>
    <w:rsid w:val="00B05D3C"/>
    <w:rsid w:val="00B05E93"/>
    <w:rsid w:val="00B05EC6"/>
    <w:rsid w:val="00B06082"/>
    <w:rsid w:val="00B06382"/>
    <w:rsid w:val="00B0643F"/>
    <w:rsid w:val="00B068F9"/>
    <w:rsid w:val="00B069FD"/>
    <w:rsid w:val="00B06A4E"/>
    <w:rsid w:val="00B0711C"/>
    <w:rsid w:val="00B073AE"/>
    <w:rsid w:val="00B07503"/>
    <w:rsid w:val="00B077B9"/>
    <w:rsid w:val="00B0799C"/>
    <w:rsid w:val="00B07ACE"/>
    <w:rsid w:val="00B07B47"/>
    <w:rsid w:val="00B07CAC"/>
    <w:rsid w:val="00B07D50"/>
    <w:rsid w:val="00B07D8A"/>
    <w:rsid w:val="00B10091"/>
    <w:rsid w:val="00B10260"/>
    <w:rsid w:val="00B105F9"/>
    <w:rsid w:val="00B10784"/>
    <w:rsid w:val="00B10803"/>
    <w:rsid w:val="00B10818"/>
    <w:rsid w:val="00B10919"/>
    <w:rsid w:val="00B1096B"/>
    <w:rsid w:val="00B10ABF"/>
    <w:rsid w:val="00B10E30"/>
    <w:rsid w:val="00B11262"/>
    <w:rsid w:val="00B11455"/>
    <w:rsid w:val="00B11550"/>
    <w:rsid w:val="00B117CA"/>
    <w:rsid w:val="00B117E6"/>
    <w:rsid w:val="00B11818"/>
    <w:rsid w:val="00B1193F"/>
    <w:rsid w:val="00B1198D"/>
    <w:rsid w:val="00B11AA9"/>
    <w:rsid w:val="00B11BB0"/>
    <w:rsid w:val="00B11CF1"/>
    <w:rsid w:val="00B11D55"/>
    <w:rsid w:val="00B11E0A"/>
    <w:rsid w:val="00B1202F"/>
    <w:rsid w:val="00B12410"/>
    <w:rsid w:val="00B12772"/>
    <w:rsid w:val="00B12A3A"/>
    <w:rsid w:val="00B12A81"/>
    <w:rsid w:val="00B12ECF"/>
    <w:rsid w:val="00B12F35"/>
    <w:rsid w:val="00B12F8B"/>
    <w:rsid w:val="00B13167"/>
    <w:rsid w:val="00B13452"/>
    <w:rsid w:val="00B136B4"/>
    <w:rsid w:val="00B136BA"/>
    <w:rsid w:val="00B137C8"/>
    <w:rsid w:val="00B1381D"/>
    <w:rsid w:val="00B13A64"/>
    <w:rsid w:val="00B13AE6"/>
    <w:rsid w:val="00B13B62"/>
    <w:rsid w:val="00B13C51"/>
    <w:rsid w:val="00B13D29"/>
    <w:rsid w:val="00B13E9B"/>
    <w:rsid w:val="00B140A8"/>
    <w:rsid w:val="00B140EE"/>
    <w:rsid w:val="00B14442"/>
    <w:rsid w:val="00B14849"/>
    <w:rsid w:val="00B148D1"/>
    <w:rsid w:val="00B14B0F"/>
    <w:rsid w:val="00B14DD7"/>
    <w:rsid w:val="00B14EBD"/>
    <w:rsid w:val="00B15333"/>
    <w:rsid w:val="00B15499"/>
    <w:rsid w:val="00B154E3"/>
    <w:rsid w:val="00B15C87"/>
    <w:rsid w:val="00B16263"/>
    <w:rsid w:val="00B16805"/>
    <w:rsid w:val="00B168D9"/>
    <w:rsid w:val="00B16A9B"/>
    <w:rsid w:val="00B16D51"/>
    <w:rsid w:val="00B16D53"/>
    <w:rsid w:val="00B16E7C"/>
    <w:rsid w:val="00B17397"/>
    <w:rsid w:val="00B1751B"/>
    <w:rsid w:val="00B175DC"/>
    <w:rsid w:val="00B176D0"/>
    <w:rsid w:val="00B176FC"/>
    <w:rsid w:val="00B1770F"/>
    <w:rsid w:val="00B17BB1"/>
    <w:rsid w:val="00B17BF5"/>
    <w:rsid w:val="00B1E024"/>
    <w:rsid w:val="00B20001"/>
    <w:rsid w:val="00B204FE"/>
    <w:rsid w:val="00B2061C"/>
    <w:rsid w:val="00B2082F"/>
    <w:rsid w:val="00B210ED"/>
    <w:rsid w:val="00B2118E"/>
    <w:rsid w:val="00B211B1"/>
    <w:rsid w:val="00B21361"/>
    <w:rsid w:val="00B21668"/>
    <w:rsid w:val="00B21700"/>
    <w:rsid w:val="00B2189A"/>
    <w:rsid w:val="00B21BA0"/>
    <w:rsid w:val="00B21C5C"/>
    <w:rsid w:val="00B21C8F"/>
    <w:rsid w:val="00B21E0C"/>
    <w:rsid w:val="00B21F64"/>
    <w:rsid w:val="00B22173"/>
    <w:rsid w:val="00B2230D"/>
    <w:rsid w:val="00B223C1"/>
    <w:rsid w:val="00B22620"/>
    <w:rsid w:val="00B227D8"/>
    <w:rsid w:val="00B22811"/>
    <w:rsid w:val="00B22A25"/>
    <w:rsid w:val="00B22DC8"/>
    <w:rsid w:val="00B22E9A"/>
    <w:rsid w:val="00B22EA1"/>
    <w:rsid w:val="00B2322F"/>
    <w:rsid w:val="00B23429"/>
    <w:rsid w:val="00B2345F"/>
    <w:rsid w:val="00B23691"/>
    <w:rsid w:val="00B237FA"/>
    <w:rsid w:val="00B23D9E"/>
    <w:rsid w:val="00B23EF3"/>
    <w:rsid w:val="00B240AC"/>
    <w:rsid w:val="00B243A0"/>
    <w:rsid w:val="00B243E6"/>
    <w:rsid w:val="00B244CF"/>
    <w:rsid w:val="00B246E2"/>
    <w:rsid w:val="00B24AC8"/>
    <w:rsid w:val="00B24C1E"/>
    <w:rsid w:val="00B24C93"/>
    <w:rsid w:val="00B24F9B"/>
    <w:rsid w:val="00B252B1"/>
    <w:rsid w:val="00B252E5"/>
    <w:rsid w:val="00B2554F"/>
    <w:rsid w:val="00B2569E"/>
    <w:rsid w:val="00B256E2"/>
    <w:rsid w:val="00B258F6"/>
    <w:rsid w:val="00B25922"/>
    <w:rsid w:val="00B259E2"/>
    <w:rsid w:val="00B25AA4"/>
    <w:rsid w:val="00B25CE0"/>
    <w:rsid w:val="00B25D62"/>
    <w:rsid w:val="00B25E46"/>
    <w:rsid w:val="00B26081"/>
    <w:rsid w:val="00B261E9"/>
    <w:rsid w:val="00B2628E"/>
    <w:rsid w:val="00B265EA"/>
    <w:rsid w:val="00B26A2F"/>
    <w:rsid w:val="00B26BF8"/>
    <w:rsid w:val="00B26D27"/>
    <w:rsid w:val="00B26D57"/>
    <w:rsid w:val="00B26F32"/>
    <w:rsid w:val="00B27146"/>
    <w:rsid w:val="00B27409"/>
    <w:rsid w:val="00B27524"/>
    <w:rsid w:val="00B27700"/>
    <w:rsid w:val="00B27812"/>
    <w:rsid w:val="00B27B06"/>
    <w:rsid w:val="00B27B58"/>
    <w:rsid w:val="00B27F31"/>
    <w:rsid w:val="00B27F49"/>
    <w:rsid w:val="00B27F89"/>
    <w:rsid w:val="00B27FC7"/>
    <w:rsid w:val="00B30055"/>
    <w:rsid w:val="00B3007F"/>
    <w:rsid w:val="00B302BF"/>
    <w:rsid w:val="00B30425"/>
    <w:rsid w:val="00B30683"/>
    <w:rsid w:val="00B308A7"/>
    <w:rsid w:val="00B30B01"/>
    <w:rsid w:val="00B30B07"/>
    <w:rsid w:val="00B30CEA"/>
    <w:rsid w:val="00B30D95"/>
    <w:rsid w:val="00B3106C"/>
    <w:rsid w:val="00B3116B"/>
    <w:rsid w:val="00B31222"/>
    <w:rsid w:val="00B31231"/>
    <w:rsid w:val="00B312D5"/>
    <w:rsid w:val="00B3183D"/>
    <w:rsid w:val="00B31B66"/>
    <w:rsid w:val="00B31B7A"/>
    <w:rsid w:val="00B31C0E"/>
    <w:rsid w:val="00B31C2A"/>
    <w:rsid w:val="00B31E5E"/>
    <w:rsid w:val="00B31FB2"/>
    <w:rsid w:val="00B32398"/>
    <w:rsid w:val="00B32628"/>
    <w:rsid w:val="00B32799"/>
    <w:rsid w:val="00B3282D"/>
    <w:rsid w:val="00B32B88"/>
    <w:rsid w:val="00B33278"/>
    <w:rsid w:val="00B332B0"/>
    <w:rsid w:val="00B332BC"/>
    <w:rsid w:val="00B3337D"/>
    <w:rsid w:val="00B3356C"/>
    <w:rsid w:val="00B335C7"/>
    <w:rsid w:val="00B3376E"/>
    <w:rsid w:val="00B33BE9"/>
    <w:rsid w:val="00B33ED5"/>
    <w:rsid w:val="00B33F65"/>
    <w:rsid w:val="00B340BC"/>
    <w:rsid w:val="00B34199"/>
    <w:rsid w:val="00B342CF"/>
    <w:rsid w:val="00B343F0"/>
    <w:rsid w:val="00B3484A"/>
    <w:rsid w:val="00B34A8C"/>
    <w:rsid w:val="00B34F00"/>
    <w:rsid w:val="00B35410"/>
    <w:rsid w:val="00B355C6"/>
    <w:rsid w:val="00B35610"/>
    <w:rsid w:val="00B357A3"/>
    <w:rsid w:val="00B35ADC"/>
    <w:rsid w:val="00B35CCF"/>
    <w:rsid w:val="00B3639B"/>
    <w:rsid w:val="00B3643B"/>
    <w:rsid w:val="00B366D0"/>
    <w:rsid w:val="00B36AEC"/>
    <w:rsid w:val="00B36F0C"/>
    <w:rsid w:val="00B36F86"/>
    <w:rsid w:val="00B370B3"/>
    <w:rsid w:val="00B37258"/>
    <w:rsid w:val="00B3725E"/>
    <w:rsid w:val="00B37666"/>
    <w:rsid w:val="00B3769A"/>
    <w:rsid w:val="00B37777"/>
    <w:rsid w:val="00B37A92"/>
    <w:rsid w:val="00B37AC5"/>
    <w:rsid w:val="00B37B2C"/>
    <w:rsid w:val="00B40160"/>
    <w:rsid w:val="00B40288"/>
    <w:rsid w:val="00B40397"/>
    <w:rsid w:val="00B40515"/>
    <w:rsid w:val="00B4051C"/>
    <w:rsid w:val="00B407B6"/>
    <w:rsid w:val="00B4080C"/>
    <w:rsid w:val="00B408C5"/>
    <w:rsid w:val="00B40A60"/>
    <w:rsid w:val="00B40B63"/>
    <w:rsid w:val="00B40C3B"/>
    <w:rsid w:val="00B40D46"/>
    <w:rsid w:val="00B4107B"/>
    <w:rsid w:val="00B41236"/>
    <w:rsid w:val="00B415BC"/>
    <w:rsid w:val="00B41726"/>
    <w:rsid w:val="00B418A7"/>
    <w:rsid w:val="00B418B7"/>
    <w:rsid w:val="00B41921"/>
    <w:rsid w:val="00B41963"/>
    <w:rsid w:val="00B419A1"/>
    <w:rsid w:val="00B41CCA"/>
    <w:rsid w:val="00B41CE3"/>
    <w:rsid w:val="00B41CFC"/>
    <w:rsid w:val="00B41E31"/>
    <w:rsid w:val="00B4200E"/>
    <w:rsid w:val="00B42202"/>
    <w:rsid w:val="00B4232A"/>
    <w:rsid w:val="00B42451"/>
    <w:rsid w:val="00B42617"/>
    <w:rsid w:val="00B4268C"/>
    <w:rsid w:val="00B42A7A"/>
    <w:rsid w:val="00B42B37"/>
    <w:rsid w:val="00B42C36"/>
    <w:rsid w:val="00B42C3D"/>
    <w:rsid w:val="00B42F19"/>
    <w:rsid w:val="00B4312D"/>
    <w:rsid w:val="00B43421"/>
    <w:rsid w:val="00B434B1"/>
    <w:rsid w:val="00B43903"/>
    <w:rsid w:val="00B43C1F"/>
    <w:rsid w:val="00B43DBA"/>
    <w:rsid w:val="00B4419A"/>
    <w:rsid w:val="00B441A4"/>
    <w:rsid w:val="00B44467"/>
    <w:rsid w:val="00B44784"/>
    <w:rsid w:val="00B4489D"/>
    <w:rsid w:val="00B4499E"/>
    <w:rsid w:val="00B44A4C"/>
    <w:rsid w:val="00B44DBB"/>
    <w:rsid w:val="00B44E68"/>
    <w:rsid w:val="00B44FDC"/>
    <w:rsid w:val="00B44FED"/>
    <w:rsid w:val="00B45360"/>
    <w:rsid w:val="00B45582"/>
    <w:rsid w:val="00B45702"/>
    <w:rsid w:val="00B45972"/>
    <w:rsid w:val="00B45976"/>
    <w:rsid w:val="00B45AA1"/>
    <w:rsid w:val="00B45C0C"/>
    <w:rsid w:val="00B45D4F"/>
    <w:rsid w:val="00B45DAE"/>
    <w:rsid w:val="00B45DC7"/>
    <w:rsid w:val="00B45E26"/>
    <w:rsid w:val="00B45E6A"/>
    <w:rsid w:val="00B46154"/>
    <w:rsid w:val="00B462F2"/>
    <w:rsid w:val="00B46396"/>
    <w:rsid w:val="00B463EE"/>
    <w:rsid w:val="00B4659D"/>
    <w:rsid w:val="00B46621"/>
    <w:rsid w:val="00B46860"/>
    <w:rsid w:val="00B468D5"/>
    <w:rsid w:val="00B4694F"/>
    <w:rsid w:val="00B46AFA"/>
    <w:rsid w:val="00B46B7D"/>
    <w:rsid w:val="00B46D19"/>
    <w:rsid w:val="00B47201"/>
    <w:rsid w:val="00B47243"/>
    <w:rsid w:val="00B474EF"/>
    <w:rsid w:val="00B476E6"/>
    <w:rsid w:val="00B4772E"/>
    <w:rsid w:val="00B477F3"/>
    <w:rsid w:val="00B47953"/>
    <w:rsid w:val="00B47A04"/>
    <w:rsid w:val="00B47CA5"/>
    <w:rsid w:val="00B47E48"/>
    <w:rsid w:val="00B47E6B"/>
    <w:rsid w:val="00B47F08"/>
    <w:rsid w:val="00B5019A"/>
    <w:rsid w:val="00B501E5"/>
    <w:rsid w:val="00B5038F"/>
    <w:rsid w:val="00B503A5"/>
    <w:rsid w:val="00B504FB"/>
    <w:rsid w:val="00B505CD"/>
    <w:rsid w:val="00B50E8B"/>
    <w:rsid w:val="00B50F96"/>
    <w:rsid w:val="00B510D1"/>
    <w:rsid w:val="00B51390"/>
    <w:rsid w:val="00B51799"/>
    <w:rsid w:val="00B51A86"/>
    <w:rsid w:val="00B51B92"/>
    <w:rsid w:val="00B51C49"/>
    <w:rsid w:val="00B51C84"/>
    <w:rsid w:val="00B51E93"/>
    <w:rsid w:val="00B52220"/>
    <w:rsid w:val="00B523D0"/>
    <w:rsid w:val="00B523D8"/>
    <w:rsid w:val="00B5247D"/>
    <w:rsid w:val="00B524F7"/>
    <w:rsid w:val="00B5287E"/>
    <w:rsid w:val="00B529CD"/>
    <w:rsid w:val="00B52AA0"/>
    <w:rsid w:val="00B53044"/>
    <w:rsid w:val="00B530B5"/>
    <w:rsid w:val="00B532A0"/>
    <w:rsid w:val="00B532D3"/>
    <w:rsid w:val="00B534D6"/>
    <w:rsid w:val="00B535DC"/>
    <w:rsid w:val="00B5388F"/>
    <w:rsid w:val="00B53A46"/>
    <w:rsid w:val="00B53DBC"/>
    <w:rsid w:val="00B53DF1"/>
    <w:rsid w:val="00B540D3"/>
    <w:rsid w:val="00B54389"/>
    <w:rsid w:val="00B544BE"/>
    <w:rsid w:val="00B548BC"/>
    <w:rsid w:val="00B54CF4"/>
    <w:rsid w:val="00B54DDA"/>
    <w:rsid w:val="00B54EEA"/>
    <w:rsid w:val="00B550A7"/>
    <w:rsid w:val="00B550D7"/>
    <w:rsid w:val="00B551ED"/>
    <w:rsid w:val="00B5582A"/>
    <w:rsid w:val="00B5598E"/>
    <w:rsid w:val="00B559AC"/>
    <w:rsid w:val="00B55CFD"/>
    <w:rsid w:val="00B55DDE"/>
    <w:rsid w:val="00B55E13"/>
    <w:rsid w:val="00B568B7"/>
    <w:rsid w:val="00B56990"/>
    <w:rsid w:val="00B56B73"/>
    <w:rsid w:val="00B56C76"/>
    <w:rsid w:val="00B56E34"/>
    <w:rsid w:val="00B5701E"/>
    <w:rsid w:val="00B57584"/>
    <w:rsid w:val="00B579AF"/>
    <w:rsid w:val="00B579CF"/>
    <w:rsid w:val="00B57E07"/>
    <w:rsid w:val="00B57EDB"/>
    <w:rsid w:val="00B57EF1"/>
    <w:rsid w:val="00B57F6F"/>
    <w:rsid w:val="00B57F9C"/>
    <w:rsid w:val="00B6018D"/>
    <w:rsid w:val="00B6080A"/>
    <w:rsid w:val="00B608BD"/>
    <w:rsid w:val="00B6092E"/>
    <w:rsid w:val="00B60AD6"/>
    <w:rsid w:val="00B60CF5"/>
    <w:rsid w:val="00B60D65"/>
    <w:rsid w:val="00B60E5C"/>
    <w:rsid w:val="00B610F7"/>
    <w:rsid w:val="00B61641"/>
    <w:rsid w:val="00B616D9"/>
    <w:rsid w:val="00B61709"/>
    <w:rsid w:val="00B61AF3"/>
    <w:rsid w:val="00B61C74"/>
    <w:rsid w:val="00B61CFF"/>
    <w:rsid w:val="00B61FC7"/>
    <w:rsid w:val="00B61FCB"/>
    <w:rsid w:val="00B62206"/>
    <w:rsid w:val="00B6256B"/>
    <w:rsid w:val="00B6256D"/>
    <w:rsid w:val="00B62700"/>
    <w:rsid w:val="00B62A93"/>
    <w:rsid w:val="00B62ACC"/>
    <w:rsid w:val="00B62BAB"/>
    <w:rsid w:val="00B62D4F"/>
    <w:rsid w:val="00B62EB7"/>
    <w:rsid w:val="00B62FEF"/>
    <w:rsid w:val="00B63300"/>
    <w:rsid w:val="00B63325"/>
    <w:rsid w:val="00B6333E"/>
    <w:rsid w:val="00B63700"/>
    <w:rsid w:val="00B6373D"/>
    <w:rsid w:val="00B63AE2"/>
    <w:rsid w:val="00B63E47"/>
    <w:rsid w:val="00B63F15"/>
    <w:rsid w:val="00B640B6"/>
    <w:rsid w:val="00B64108"/>
    <w:rsid w:val="00B6498B"/>
    <w:rsid w:val="00B64B1B"/>
    <w:rsid w:val="00B64C30"/>
    <w:rsid w:val="00B64C45"/>
    <w:rsid w:val="00B64D67"/>
    <w:rsid w:val="00B64E0B"/>
    <w:rsid w:val="00B65150"/>
    <w:rsid w:val="00B65191"/>
    <w:rsid w:val="00B651B1"/>
    <w:rsid w:val="00B65399"/>
    <w:rsid w:val="00B655F4"/>
    <w:rsid w:val="00B65695"/>
    <w:rsid w:val="00B65771"/>
    <w:rsid w:val="00B657C6"/>
    <w:rsid w:val="00B65971"/>
    <w:rsid w:val="00B65BAE"/>
    <w:rsid w:val="00B65C13"/>
    <w:rsid w:val="00B65D58"/>
    <w:rsid w:val="00B65F3F"/>
    <w:rsid w:val="00B65F45"/>
    <w:rsid w:val="00B66274"/>
    <w:rsid w:val="00B66B71"/>
    <w:rsid w:val="00B66B85"/>
    <w:rsid w:val="00B66C8B"/>
    <w:rsid w:val="00B67130"/>
    <w:rsid w:val="00B67135"/>
    <w:rsid w:val="00B671F2"/>
    <w:rsid w:val="00B674C1"/>
    <w:rsid w:val="00B677DD"/>
    <w:rsid w:val="00B67A68"/>
    <w:rsid w:val="00B67AFC"/>
    <w:rsid w:val="00B67DF5"/>
    <w:rsid w:val="00B67E43"/>
    <w:rsid w:val="00B70016"/>
    <w:rsid w:val="00B7010C"/>
    <w:rsid w:val="00B7019B"/>
    <w:rsid w:val="00B70210"/>
    <w:rsid w:val="00B70715"/>
    <w:rsid w:val="00B708D7"/>
    <w:rsid w:val="00B70B6F"/>
    <w:rsid w:val="00B70BAC"/>
    <w:rsid w:val="00B70BEF"/>
    <w:rsid w:val="00B70C78"/>
    <w:rsid w:val="00B70E64"/>
    <w:rsid w:val="00B70E92"/>
    <w:rsid w:val="00B70EB9"/>
    <w:rsid w:val="00B70F54"/>
    <w:rsid w:val="00B70FD2"/>
    <w:rsid w:val="00B71414"/>
    <w:rsid w:val="00B715DA"/>
    <w:rsid w:val="00B71779"/>
    <w:rsid w:val="00B717BB"/>
    <w:rsid w:val="00B717D7"/>
    <w:rsid w:val="00B71956"/>
    <w:rsid w:val="00B71CCF"/>
    <w:rsid w:val="00B71E87"/>
    <w:rsid w:val="00B71EF2"/>
    <w:rsid w:val="00B721D7"/>
    <w:rsid w:val="00B7241F"/>
    <w:rsid w:val="00B7269F"/>
    <w:rsid w:val="00B7275E"/>
    <w:rsid w:val="00B727DC"/>
    <w:rsid w:val="00B72FB6"/>
    <w:rsid w:val="00B7350F"/>
    <w:rsid w:val="00B735D2"/>
    <w:rsid w:val="00B73A60"/>
    <w:rsid w:val="00B73AA5"/>
    <w:rsid w:val="00B73CCA"/>
    <w:rsid w:val="00B73F05"/>
    <w:rsid w:val="00B740AE"/>
    <w:rsid w:val="00B741DB"/>
    <w:rsid w:val="00B741F5"/>
    <w:rsid w:val="00B743B9"/>
    <w:rsid w:val="00B74718"/>
    <w:rsid w:val="00B74778"/>
    <w:rsid w:val="00B74B2F"/>
    <w:rsid w:val="00B74D4B"/>
    <w:rsid w:val="00B74ED2"/>
    <w:rsid w:val="00B75071"/>
    <w:rsid w:val="00B75210"/>
    <w:rsid w:val="00B7527E"/>
    <w:rsid w:val="00B7531E"/>
    <w:rsid w:val="00B75586"/>
    <w:rsid w:val="00B7560B"/>
    <w:rsid w:val="00B7582F"/>
    <w:rsid w:val="00B75B16"/>
    <w:rsid w:val="00B75C19"/>
    <w:rsid w:val="00B75CCD"/>
    <w:rsid w:val="00B75F19"/>
    <w:rsid w:val="00B76168"/>
    <w:rsid w:val="00B764A6"/>
    <w:rsid w:val="00B765D5"/>
    <w:rsid w:val="00B7675B"/>
    <w:rsid w:val="00B768EC"/>
    <w:rsid w:val="00B769A9"/>
    <w:rsid w:val="00B769BF"/>
    <w:rsid w:val="00B76B0E"/>
    <w:rsid w:val="00B76E1E"/>
    <w:rsid w:val="00B76E52"/>
    <w:rsid w:val="00B76FCF"/>
    <w:rsid w:val="00B7720C"/>
    <w:rsid w:val="00B775D3"/>
    <w:rsid w:val="00B7768D"/>
    <w:rsid w:val="00B77B22"/>
    <w:rsid w:val="00B77B73"/>
    <w:rsid w:val="00B77BB1"/>
    <w:rsid w:val="00B8013A"/>
    <w:rsid w:val="00B80368"/>
    <w:rsid w:val="00B804D3"/>
    <w:rsid w:val="00B80610"/>
    <w:rsid w:val="00B806B2"/>
    <w:rsid w:val="00B808EE"/>
    <w:rsid w:val="00B8098C"/>
    <w:rsid w:val="00B80A84"/>
    <w:rsid w:val="00B80A8C"/>
    <w:rsid w:val="00B80B3D"/>
    <w:rsid w:val="00B80BAA"/>
    <w:rsid w:val="00B80C84"/>
    <w:rsid w:val="00B80DAC"/>
    <w:rsid w:val="00B80E1F"/>
    <w:rsid w:val="00B80E59"/>
    <w:rsid w:val="00B80E60"/>
    <w:rsid w:val="00B81068"/>
    <w:rsid w:val="00B81081"/>
    <w:rsid w:val="00B81264"/>
    <w:rsid w:val="00B8129D"/>
    <w:rsid w:val="00B8150D"/>
    <w:rsid w:val="00B81599"/>
    <w:rsid w:val="00B815EA"/>
    <w:rsid w:val="00B81731"/>
    <w:rsid w:val="00B81ACC"/>
    <w:rsid w:val="00B81D35"/>
    <w:rsid w:val="00B81D4B"/>
    <w:rsid w:val="00B81D6A"/>
    <w:rsid w:val="00B81E91"/>
    <w:rsid w:val="00B8209E"/>
    <w:rsid w:val="00B823E0"/>
    <w:rsid w:val="00B825C6"/>
    <w:rsid w:val="00B827C4"/>
    <w:rsid w:val="00B829DF"/>
    <w:rsid w:val="00B82C85"/>
    <w:rsid w:val="00B83084"/>
    <w:rsid w:val="00B83622"/>
    <w:rsid w:val="00B83684"/>
    <w:rsid w:val="00B8370C"/>
    <w:rsid w:val="00B8385B"/>
    <w:rsid w:val="00B83875"/>
    <w:rsid w:val="00B83A90"/>
    <w:rsid w:val="00B83AEB"/>
    <w:rsid w:val="00B83BA5"/>
    <w:rsid w:val="00B83E2A"/>
    <w:rsid w:val="00B84613"/>
    <w:rsid w:val="00B8463E"/>
    <w:rsid w:val="00B8479B"/>
    <w:rsid w:val="00B847C4"/>
    <w:rsid w:val="00B849AA"/>
    <w:rsid w:val="00B84B57"/>
    <w:rsid w:val="00B84E2A"/>
    <w:rsid w:val="00B850FC"/>
    <w:rsid w:val="00B85506"/>
    <w:rsid w:val="00B8575A"/>
    <w:rsid w:val="00B85978"/>
    <w:rsid w:val="00B859BA"/>
    <w:rsid w:val="00B85A83"/>
    <w:rsid w:val="00B85BD9"/>
    <w:rsid w:val="00B85D65"/>
    <w:rsid w:val="00B86019"/>
    <w:rsid w:val="00B8624A"/>
    <w:rsid w:val="00B8630C"/>
    <w:rsid w:val="00B864A1"/>
    <w:rsid w:val="00B864FC"/>
    <w:rsid w:val="00B866C3"/>
    <w:rsid w:val="00B86E5A"/>
    <w:rsid w:val="00B870E9"/>
    <w:rsid w:val="00B87152"/>
    <w:rsid w:val="00B8717A"/>
    <w:rsid w:val="00B87189"/>
    <w:rsid w:val="00B8749B"/>
    <w:rsid w:val="00B8755F"/>
    <w:rsid w:val="00B87936"/>
    <w:rsid w:val="00B87B92"/>
    <w:rsid w:val="00B87C92"/>
    <w:rsid w:val="00B87D3B"/>
    <w:rsid w:val="00B87E09"/>
    <w:rsid w:val="00B87E25"/>
    <w:rsid w:val="00B87E29"/>
    <w:rsid w:val="00B90406"/>
    <w:rsid w:val="00B905A6"/>
    <w:rsid w:val="00B905AC"/>
    <w:rsid w:val="00B909B4"/>
    <w:rsid w:val="00B90DF7"/>
    <w:rsid w:val="00B90EF9"/>
    <w:rsid w:val="00B911BF"/>
    <w:rsid w:val="00B91231"/>
    <w:rsid w:val="00B91333"/>
    <w:rsid w:val="00B913BC"/>
    <w:rsid w:val="00B91424"/>
    <w:rsid w:val="00B918FB"/>
    <w:rsid w:val="00B91A4E"/>
    <w:rsid w:val="00B91A72"/>
    <w:rsid w:val="00B91B16"/>
    <w:rsid w:val="00B91F1D"/>
    <w:rsid w:val="00B91FAA"/>
    <w:rsid w:val="00B92139"/>
    <w:rsid w:val="00B9213E"/>
    <w:rsid w:val="00B922F7"/>
    <w:rsid w:val="00B92436"/>
    <w:rsid w:val="00B925A7"/>
    <w:rsid w:val="00B92E29"/>
    <w:rsid w:val="00B92E98"/>
    <w:rsid w:val="00B9301A"/>
    <w:rsid w:val="00B932D7"/>
    <w:rsid w:val="00B934DF"/>
    <w:rsid w:val="00B93555"/>
    <w:rsid w:val="00B93670"/>
    <w:rsid w:val="00B93974"/>
    <w:rsid w:val="00B93AD8"/>
    <w:rsid w:val="00B93B05"/>
    <w:rsid w:val="00B93C59"/>
    <w:rsid w:val="00B93CB4"/>
    <w:rsid w:val="00B942A2"/>
    <w:rsid w:val="00B942A4"/>
    <w:rsid w:val="00B94625"/>
    <w:rsid w:val="00B94719"/>
    <w:rsid w:val="00B9478A"/>
    <w:rsid w:val="00B9479C"/>
    <w:rsid w:val="00B94A51"/>
    <w:rsid w:val="00B94BD3"/>
    <w:rsid w:val="00B94D34"/>
    <w:rsid w:val="00B94E91"/>
    <w:rsid w:val="00B94EF1"/>
    <w:rsid w:val="00B95263"/>
    <w:rsid w:val="00B95498"/>
    <w:rsid w:val="00B954C0"/>
    <w:rsid w:val="00B9557E"/>
    <w:rsid w:val="00B956F2"/>
    <w:rsid w:val="00B95B78"/>
    <w:rsid w:val="00B95CDE"/>
    <w:rsid w:val="00B95D82"/>
    <w:rsid w:val="00B95FD2"/>
    <w:rsid w:val="00B95FF3"/>
    <w:rsid w:val="00B96248"/>
    <w:rsid w:val="00B963A2"/>
    <w:rsid w:val="00B96540"/>
    <w:rsid w:val="00B96555"/>
    <w:rsid w:val="00B9687F"/>
    <w:rsid w:val="00B96B9C"/>
    <w:rsid w:val="00B96C0E"/>
    <w:rsid w:val="00B97121"/>
    <w:rsid w:val="00B97413"/>
    <w:rsid w:val="00B9781E"/>
    <w:rsid w:val="00B97825"/>
    <w:rsid w:val="00B978E4"/>
    <w:rsid w:val="00B97B1B"/>
    <w:rsid w:val="00B9D7BF"/>
    <w:rsid w:val="00BA0573"/>
    <w:rsid w:val="00BA0807"/>
    <w:rsid w:val="00BA09A3"/>
    <w:rsid w:val="00BA0B3E"/>
    <w:rsid w:val="00BA0C56"/>
    <w:rsid w:val="00BA0CC6"/>
    <w:rsid w:val="00BA0CF4"/>
    <w:rsid w:val="00BA0E9E"/>
    <w:rsid w:val="00BA0EF9"/>
    <w:rsid w:val="00BA0FAB"/>
    <w:rsid w:val="00BA139F"/>
    <w:rsid w:val="00BA143A"/>
    <w:rsid w:val="00BA1475"/>
    <w:rsid w:val="00BA15C5"/>
    <w:rsid w:val="00BA15F4"/>
    <w:rsid w:val="00BA16D6"/>
    <w:rsid w:val="00BA1765"/>
    <w:rsid w:val="00BA1867"/>
    <w:rsid w:val="00BA1A4C"/>
    <w:rsid w:val="00BA1AAD"/>
    <w:rsid w:val="00BA1AE6"/>
    <w:rsid w:val="00BA1B50"/>
    <w:rsid w:val="00BA1DD3"/>
    <w:rsid w:val="00BA1FD2"/>
    <w:rsid w:val="00BA2051"/>
    <w:rsid w:val="00BA2054"/>
    <w:rsid w:val="00BA246E"/>
    <w:rsid w:val="00BA26FF"/>
    <w:rsid w:val="00BA2848"/>
    <w:rsid w:val="00BA2877"/>
    <w:rsid w:val="00BA28E1"/>
    <w:rsid w:val="00BA2A1F"/>
    <w:rsid w:val="00BA2B33"/>
    <w:rsid w:val="00BA2C8C"/>
    <w:rsid w:val="00BA3171"/>
    <w:rsid w:val="00BA3262"/>
    <w:rsid w:val="00BA33E9"/>
    <w:rsid w:val="00BA35B3"/>
    <w:rsid w:val="00BA37D5"/>
    <w:rsid w:val="00BA39AA"/>
    <w:rsid w:val="00BA3A18"/>
    <w:rsid w:val="00BA3C37"/>
    <w:rsid w:val="00BA40BD"/>
    <w:rsid w:val="00BA4348"/>
    <w:rsid w:val="00BA4423"/>
    <w:rsid w:val="00BA45E6"/>
    <w:rsid w:val="00BA463C"/>
    <w:rsid w:val="00BA50F0"/>
    <w:rsid w:val="00BA524A"/>
    <w:rsid w:val="00BA52D3"/>
    <w:rsid w:val="00BA5478"/>
    <w:rsid w:val="00BA54EF"/>
    <w:rsid w:val="00BA5758"/>
    <w:rsid w:val="00BA5866"/>
    <w:rsid w:val="00BA5888"/>
    <w:rsid w:val="00BA58DB"/>
    <w:rsid w:val="00BA5A21"/>
    <w:rsid w:val="00BA5A58"/>
    <w:rsid w:val="00BA5B75"/>
    <w:rsid w:val="00BA5C8C"/>
    <w:rsid w:val="00BA5F1F"/>
    <w:rsid w:val="00BA5F84"/>
    <w:rsid w:val="00BA617A"/>
    <w:rsid w:val="00BA63AA"/>
    <w:rsid w:val="00BA6AFC"/>
    <w:rsid w:val="00BA6D14"/>
    <w:rsid w:val="00BA6ED3"/>
    <w:rsid w:val="00BA7400"/>
    <w:rsid w:val="00BA749E"/>
    <w:rsid w:val="00BA760D"/>
    <w:rsid w:val="00BA772F"/>
    <w:rsid w:val="00BA7B5B"/>
    <w:rsid w:val="00BA7C82"/>
    <w:rsid w:val="00BA7ED2"/>
    <w:rsid w:val="00BB0290"/>
    <w:rsid w:val="00BB0400"/>
    <w:rsid w:val="00BB09F0"/>
    <w:rsid w:val="00BB0C14"/>
    <w:rsid w:val="00BB0CF5"/>
    <w:rsid w:val="00BB0D34"/>
    <w:rsid w:val="00BB0E10"/>
    <w:rsid w:val="00BB10EE"/>
    <w:rsid w:val="00BB117A"/>
    <w:rsid w:val="00BB117D"/>
    <w:rsid w:val="00BB12FA"/>
    <w:rsid w:val="00BB133A"/>
    <w:rsid w:val="00BB136F"/>
    <w:rsid w:val="00BB1447"/>
    <w:rsid w:val="00BB15A5"/>
    <w:rsid w:val="00BB16EF"/>
    <w:rsid w:val="00BB16F0"/>
    <w:rsid w:val="00BB1729"/>
    <w:rsid w:val="00BB17C3"/>
    <w:rsid w:val="00BB1A50"/>
    <w:rsid w:val="00BB1B9A"/>
    <w:rsid w:val="00BB1D1B"/>
    <w:rsid w:val="00BB1E02"/>
    <w:rsid w:val="00BB21F6"/>
    <w:rsid w:val="00BB23B6"/>
    <w:rsid w:val="00BB23EF"/>
    <w:rsid w:val="00BB27B5"/>
    <w:rsid w:val="00BB2884"/>
    <w:rsid w:val="00BB2BF1"/>
    <w:rsid w:val="00BB2D47"/>
    <w:rsid w:val="00BB303D"/>
    <w:rsid w:val="00BB3322"/>
    <w:rsid w:val="00BB348E"/>
    <w:rsid w:val="00BB34BA"/>
    <w:rsid w:val="00BB356A"/>
    <w:rsid w:val="00BB37FE"/>
    <w:rsid w:val="00BB38FC"/>
    <w:rsid w:val="00BB39ED"/>
    <w:rsid w:val="00BB3A53"/>
    <w:rsid w:val="00BB3A85"/>
    <w:rsid w:val="00BB3CF7"/>
    <w:rsid w:val="00BB41C5"/>
    <w:rsid w:val="00BB439C"/>
    <w:rsid w:val="00BB463F"/>
    <w:rsid w:val="00BB477B"/>
    <w:rsid w:val="00BB4D2C"/>
    <w:rsid w:val="00BB4D49"/>
    <w:rsid w:val="00BB4DE4"/>
    <w:rsid w:val="00BB4F2A"/>
    <w:rsid w:val="00BB520C"/>
    <w:rsid w:val="00BB55B7"/>
    <w:rsid w:val="00BB5986"/>
    <w:rsid w:val="00BB5AD0"/>
    <w:rsid w:val="00BB5B0B"/>
    <w:rsid w:val="00BB5CD3"/>
    <w:rsid w:val="00BB5D17"/>
    <w:rsid w:val="00BB6016"/>
    <w:rsid w:val="00BB6090"/>
    <w:rsid w:val="00BB6369"/>
    <w:rsid w:val="00BB6491"/>
    <w:rsid w:val="00BB6AA1"/>
    <w:rsid w:val="00BB6B31"/>
    <w:rsid w:val="00BB6BF4"/>
    <w:rsid w:val="00BB6CA0"/>
    <w:rsid w:val="00BB6D17"/>
    <w:rsid w:val="00BB700B"/>
    <w:rsid w:val="00BB71EE"/>
    <w:rsid w:val="00BB7484"/>
    <w:rsid w:val="00BB790F"/>
    <w:rsid w:val="00BB79C6"/>
    <w:rsid w:val="00BB7A7B"/>
    <w:rsid w:val="00BB7CBB"/>
    <w:rsid w:val="00BB7CC4"/>
    <w:rsid w:val="00BB7F82"/>
    <w:rsid w:val="00BC056F"/>
    <w:rsid w:val="00BC05F1"/>
    <w:rsid w:val="00BC07BE"/>
    <w:rsid w:val="00BC07C2"/>
    <w:rsid w:val="00BC091F"/>
    <w:rsid w:val="00BC0B0F"/>
    <w:rsid w:val="00BC0C18"/>
    <w:rsid w:val="00BC0F8F"/>
    <w:rsid w:val="00BC0FD4"/>
    <w:rsid w:val="00BC1131"/>
    <w:rsid w:val="00BC1209"/>
    <w:rsid w:val="00BC125E"/>
    <w:rsid w:val="00BC13FC"/>
    <w:rsid w:val="00BC1446"/>
    <w:rsid w:val="00BC162C"/>
    <w:rsid w:val="00BC16D4"/>
    <w:rsid w:val="00BC1CB0"/>
    <w:rsid w:val="00BC1CF8"/>
    <w:rsid w:val="00BC1FF2"/>
    <w:rsid w:val="00BC2508"/>
    <w:rsid w:val="00BC2534"/>
    <w:rsid w:val="00BC2765"/>
    <w:rsid w:val="00BC2831"/>
    <w:rsid w:val="00BC2BEB"/>
    <w:rsid w:val="00BC2C4A"/>
    <w:rsid w:val="00BC2E7B"/>
    <w:rsid w:val="00BC2FFD"/>
    <w:rsid w:val="00BC312D"/>
    <w:rsid w:val="00BC3207"/>
    <w:rsid w:val="00BC34EA"/>
    <w:rsid w:val="00BC399B"/>
    <w:rsid w:val="00BC39BB"/>
    <w:rsid w:val="00BC3C15"/>
    <w:rsid w:val="00BC4044"/>
    <w:rsid w:val="00BC436E"/>
    <w:rsid w:val="00BC44DF"/>
    <w:rsid w:val="00BC4697"/>
    <w:rsid w:val="00BC47FE"/>
    <w:rsid w:val="00BC4989"/>
    <w:rsid w:val="00BC4D7C"/>
    <w:rsid w:val="00BC4FAC"/>
    <w:rsid w:val="00BC4FD1"/>
    <w:rsid w:val="00BC5302"/>
    <w:rsid w:val="00BC546F"/>
    <w:rsid w:val="00BC598E"/>
    <w:rsid w:val="00BC5AF1"/>
    <w:rsid w:val="00BC5B39"/>
    <w:rsid w:val="00BC617F"/>
    <w:rsid w:val="00BC61F0"/>
    <w:rsid w:val="00BC63B9"/>
    <w:rsid w:val="00BC6536"/>
    <w:rsid w:val="00BC65B2"/>
    <w:rsid w:val="00BC65B6"/>
    <w:rsid w:val="00BC67A6"/>
    <w:rsid w:val="00BC6899"/>
    <w:rsid w:val="00BC6942"/>
    <w:rsid w:val="00BC6D92"/>
    <w:rsid w:val="00BC70B3"/>
    <w:rsid w:val="00BC714F"/>
    <w:rsid w:val="00BC719A"/>
    <w:rsid w:val="00BC71B4"/>
    <w:rsid w:val="00BC7241"/>
    <w:rsid w:val="00BC737A"/>
    <w:rsid w:val="00BC78E5"/>
    <w:rsid w:val="00BC7DA0"/>
    <w:rsid w:val="00BC7FC6"/>
    <w:rsid w:val="00BD08E9"/>
    <w:rsid w:val="00BD0B72"/>
    <w:rsid w:val="00BD1399"/>
    <w:rsid w:val="00BD1777"/>
    <w:rsid w:val="00BD17BD"/>
    <w:rsid w:val="00BD1A2D"/>
    <w:rsid w:val="00BD1E01"/>
    <w:rsid w:val="00BD1E97"/>
    <w:rsid w:val="00BD2217"/>
    <w:rsid w:val="00BD22A2"/>
    <w:rsid w:val="00BD22A7"/>
    <w:rsid w:val="00BD2315"/>
    <w:rsid w:val="00BD248D"/>
    <w:rsid w:val="00BD24DF"/>
    <w:rsid w:val="00BD26B3"/>
    <w:rsid w:val="00BD28A9"/>
    <w:rsid w:val="00BD2E94"/>
    <w:rsid w:val="00BD2ED1"/>
    <w:rsid w:val="00BD2FBA"/>
    <w:rsid w:val="00BD3238"/>
    <w:rsid w:val="00BD336E"/>
    <w:rsid w:val="00BD34FC"/>
    <w:rsid w:val="00BD37BB"/>
    <w:rsid w:val="00BD3A39"/>
    <w:rsid w:val="00BD3B36"/>
    <w:rsid w:val="00BD406A"/>
    <w:rsid w:val="00BD4102"/>
    <w:rsid w:val="00BD4308"/>
    <w:rsid w:val="00BD44F4"/>
    <w:rsid w:val="00BD46E5"/>
    <w:rsid w:val="00BD4C29"/>
    <w:rsid w:val="00BD4C34"/>
    <w:rsid w:val="00BD4C3C"/>
    <w:rsid w:val="00BD4E51"/>
    <w:rsid w:val="00BD528F"/>
    <w:rsid w:val="00BD543C"/>
    <w:rsid w:val="00BD5465"/>
    <w:rsid w:val="00BD5469"/>
    <w:rsid w:val="00BD57C4"/>
    <w:rsid w:val="00BD5A28"/>
    <w:rsid w:val="00BD5B87"/>
    <w:rsid w:val="00BD5EA5"/>
    <w:rsid w:val="00BD617E"/>
    <w:rsid w:val="00BD6187"/>
    <w:rsid w:val="00BD6188"/>
    <w:rsid w:val="00BD654F"/>
    <w:rsid w:val="00BD6550"/>
    <w:rsid w:val="00BD67E8"/>
    <w:rsid w:val="00BD6811"/>
    <w:rsid w:val="00BD6A14"/>
    <w:rsid w:val="00BD6AB4"/>
    <w:rsid w:val="00BD6D14"/>
    <w:rsid w:val="00BD6E23"/>
    <w:rsid w:val="00BD6EF5"/>
    <w:rsid w:val="00BD6FB9"/>
    <w:rsid w:val="00BD7067"/>
    <w:rsid w:val="00BD7279"/>
    <w:rsid w:val="00BD7281"/>
    <w:rsid w:val="00BD7424"/>
    <w:rsid w:val="00BD74A2"/>
    <w:rsid w:val="00BD765D"/>
    <w:rsid w:val="00BD7734"/>
    <w:rsid w:val="00BD7BE6"/>
    <w:rsid w:val="00BD7DBC"/>
    <w:rsid w:val="00BD7E35"/>
    <w:rsid w:val="00BD7FC2"/>
    <w:rsid w:val="00BE0263"/>
    <w:rsid w:val="00BE04F6"/>
    <w:rsid w:val="00BE069E"/>
    <w:rsid w:val="00BE06BC"/>
    <w:rsid w:val="00BE0CA8"/>
    <w:rsid w:val="00BE0F02"/>
    <w:rsid w:val="00BE0FBB"/>
    <w:rsid w:val="00BE105B"/>
    <w:rsid w:val="00BE1097"/>
    <w:rsid w:val="00BE10D9"/>
    <w:rsid w:val="00BE12F1"/>
    <w:rsid w:val="00BE1415"/>
    <w:rsid w:val="00BE159D"/>
    <w:rsid w:val="00BE15AF"/>
    <w:rsid w:val="00BE15CF"/>
    <w:rsid w:val="00BE160E"/>
    <w:rsid w:val="00BE1700"/>
    <w:rsid w:val="00BE1795"/>
    <w:rsid w:val="00BE1A36"/>
    <w:rsid w:val="00BE1DE4"/>
    <w:rsid w:val="00BE215D"/>
    <w:rsid w:val="00BE21F8"/>
    <w:rsid w:val="00BE2322"/>
    <w:rsid w:val="00BE2486"/>
    <w:rsid w:val="00BE25EE"/>
    <w:rsid w:val="00BE299B"/>
    <w:rsid w:val="00BE2A7C"/>
    <w:rsid w:val="00BE2B82"/>
    <w:rsid w:val="00BE2E3E"/>
    <w:rsid w:val="00BE3198"/>
    <w:rsid w:val="00BE3557"/>
    <w:rsid w:val="00BE36A5"/>
    <w:rsid w:val="00BE3972"/>
    <w:rsid w:val="00BE3AD5"/>
    <w:rsid w:val="00BE3BA6"/>
    <w:rsid w:val="00BE3E3C"/>
    <w:rsid w:val="00BE406B"/>
    <w:rsid w:val="00BE4073"/>
    <w:rsid w:val="00BE414B"/>
    <w:rsid w:val="00BE41E5"/>
    <w:rsid w:val="00BE4687"/>
    <w:rsid w:val="00BE4D9A"/>
    <w:rsid w:val="00BE4DB6"/>
    <w:rsid w:val="00BE4E46"/>
    <w:rsid w:val="00BE5094"/>
    <w:rsid w:val="00BE51C8"/>
    <w:rsid w:val="00BE5229"/>
    <w:rsid w:val="00BE5506"/>
    <w:rsid w:val="00BE5B93"/>
    <w:rsid w:val="00BE5D4E"/>
    <w:rsid w:val="00BE5E35"/>
    <w:rsid w:val="00BE5F4B"/>
    <w:rsid w:val="00BE611F"/>
    <w:rsid w:val="00BE6155"/>
    <w:rsid w:val="00BE61B2"/>
    <w:rsid w:val="00BE6357"/>
    <w:rsid w:val="00BE64F6"/>
    <w:rsid w:val="00BE6526"/>
    <w:rsid w:val="00BE6692"/>
    <w:rsid w:val="00BE66F6"/>
    <w:rsid w:val="00BE6AA3"/>
    <w:rsid w:val="00BE6B2F"/>
    <w:rsid w:val="00BE6CD3"/>
    <w:rsid w:val="00BE6DF2"/>
    <w:rsid w:val="00BE7176"/>
    <w:rsid w:val="00BE74D1"/>
    <w:rsid w:val="00BE74EE"/>
    <w:rsid w:val="00BE76AD"/>
    <w:rsid w:val="00BE77A7"/>
    <w:rsid w:val="00BE7AB8"/>
    <w:rsid w:val="00BE7E1A"/>
    <w:rsid w:val="00BE7FC5"/>
    <w:rsid w:val="00BF0043"/>
    <w:rsid w:val="00BF02CF"/>
    <w:rsid w:val="00BF0331"/>
    <w:rsid w:val="00BF041A"/>
    <w:rsid w:val="00BF071F"/>
    <w:rsid w:val="00BF0843"/>
    <w:rsid w:val="00BF0AB0"/>
    <w:rsid w:val="00BF0E53"/>
    <w:rsid w:val="00BF0E5F"/>
    <w:rsid w:val="00BF0F35"/>
    <w:rsid w:val="00BF12ED"/>
    <w:rsid w:val="00BF1406"/>
    <w:rsid w:val="00BF15BD"/>
    <w:rsid w:val="00BF1716"/>
    <w:rsid w:val="00BF1A15"/>
    <w:rsid w:val="00BF2028"/>
    <w:rsid w:val="00BF20BA"/>
    <w:rsid w:val="00BF289B"/>
    <w:rsid w:val="00BF29BE"/>
    <w:rsid w:val="00BF2A8C"/>
    <w:rsid w:val="00BF2E04"/>
    <w:rsid w:val="00BF2F34"/>
    <w:rsid w:val="00BF2FAC"/>
    <w:rsid w:val="00BF2FE0"/>
    <w:rsid w:val="00BF303D"/>
    <w:rsid w:val="00BF331A"/>
    <w:rsid w:val="00BF3439"/>
    <w:rsid w:val="00BF35B9"/>
    <w:rsid w:val="00BF372F"/>
    <w:rsid w:val="00BF3766"/>
    <w:rsid w:val="00BF376F"/>
    <w:rsid w:val="00BF382A"/>
    <w:rsid w:val="00BF3A5E"/>
    <w:rsid w:val="00BF3AF2"/>
    <w:rsid w:val="00BF3C00"/>
    <w:rsid w:val="00BF4183"/>
    <w:rsid w:val="00BF41C8"/>
    <w:rsid w:val="00BF41C9"/>
    <w:rsid w:val="00BF4231"/>
    <w:rsid w:val="00BF46A5"/>
    <w:rsid w:val="00BF4AB8"/>
    <w:rsid w:val="00BF4BE9"/>
    <w:rsid w:val="00BF4ED7"/>
    <w:rsid w:val="00BF4F5A"/>
    <w:rsid w:val="00BF52BC"/>
    <w:rsid w:val="00BF52D2"/>
    <w:rsid w:val="00BF539B"/>
    <w:rsid w:val="00BF5576"/>
    <w:rsid w:val="00BF56D4"/>
    <w:rsid w:val="00BF58DB"/>
    <w:rsid w:val="00BF5B01"/>
    <w:rsid w:val="00BF5D21"/>
    <w:rsid w:val="00BF5E67"/>
    <w:rsid w:val="00BF5F4C"/>
    <w:rsid w:val="00BF5FEE"/>
    <w:rsid w:val="00BF63EF"/>
    <w:rsid w:val="00BF6463"/>
    <w:rsid w:val="00BF662D"/>
    <w:rsid w:val="00BF670E"/>
    <w:rsid w:val="00BF6735"/>
    <w:rsid w:val="00BF684D"/>
    <w:rsid w:val="00BF6941"/>
    <w:rsid w:val="00BF69B1"/>
    <w:rsid w:val="00BF69BA"/>
    <w:rsid w:val="00BF6AD0"/>
    <w:rsid w:val="00BF6D70"/>
    <w:rsid w:val="00BF7194"/>
    <w:rsid w:val="00BF73BD"/>
    <w:rsid w:val="00BF76B4"/>
    <w:rsid w:val="00BF76C7"/>
    <w:rsid w:val="00BF779C"/>
    <w:rsid w:val="00BF7BC5"/>
    <w:rsid w:val="00BF7D80"/>
    <w:rsid w:val="00C0029B"/>
    <w:rsid w:val="00C003CE"/>
    <w:rsid w:val="00C003DE"/>
    <w:rsid w:val="00C00525"/>
    <w:rsid w:val="00C0057C"/>
    <w:rsid w:val="00C00E75"/>
    <w:rsid w:val="00C00EB3"/>
    <w:rsid w:val="00C00FF1"/>
    <w:rsid w:val="00C011FB"/>
    <w:rsid w:val="00C01345"/>
    <w:rsid w:val="00C013E9"/>
    <w:rsid w:val="00C015E0"/>
    <w:rsid w:val="00C01A5D"/>
    <w:rsid w:val="00C01A91"/>
    <w:rsid w:val="00C01BEB"/>
    <w:rsid w:val="00C01E9B"/>
    <w:rsid w:val="00C01F9F"/>
    <w:rsid w:val="00C020E7"/>
    <w:rsid w:val="00C02168"/>
    <w:rsid w:val="00C02449"/>
    <w:rsid w:val="00C02B71"/>
    <w:rsid w:val="00C02B90"/>
    <w:rsid w:val="00C030A5"/>
    <w:rsid w:val="00C0311C"/>
    <w:rsid w:val="00C03172"/>
    <w:rsid w:val="00C035A5"/>
    <w:rsid w:val="00C036D5"/>
    <w:rsid w:val="00C0371B"/>
    <w:rsid w:val="00C03759"/>
    <w:rsid w:val="00C038ED"/>
    <w:rsid w:val="00C03B12"/>
    <w:rsid w:val="00C03BE6"/>
    <w:rsid w:val="00C0423E"/>
    <w:rsid w:val="00C042E8"/>
    <w:rsid w:val="00C0435B"/>
    <w:rsid w:val="00C043B7"/>
    <w:rsid w:val="00C0443C"/>
    <w:rsid w:val="00C044D4"/>
    <w:rsid w:val="00C045EB"/>
    <w:rsid w:val="00C04B51"/>
    <w:rsid w:val="00C04E59"/>
    <w:rsid w:val="00C05035"/>
    <w:rsid w:val="00C0504A"/>
    <w:rsid w:val="00C05132"/>
    <w:rsid w:val="00C051FA"/>
    <w:rsid w:val="00C05302"/>
    <w:rsid w:val="00C0533B"/>
    <w:rsid w:val="00C05535"/>
    <w:rsid w:val="00C05810"/>
    <w:rsid w:val="00C058E6"/>
    <w:rsid w:val="00C059B8"/>
    <w:rsid w:val="00C05CE6"/>
    <w:rsid w:val="00C060F4"/>
    <w:rsid w:val="00C06233"/>
    <w:rsid w:val="00C062BC"/>
    <w:rsid w:val="00C06322"/>
    <w:rsid w:val="00C0633F"/>
    <w:rsid w:val="00C06554"/>
    <w:rsid w:val="00C06582"/>
    <w:rsid w:val="00C0671F"/>
    <w:rsid w:val="00C06796"/>
    <w:rsid w:val="00C067AF"/>
    <w:rsid w:val="00C06A53"/>
    <w:rsid w:val="00C06C23"/>
    <w:rsid w:val="00C06E03"/>
    <w:rsid w:val="00C06E21"/>
    <w:rsid w:val="00C06EBD"/>
    <w:rsid w:val="00C07014"/>
    <w:rsid w:val="00C07033"/>
    <w:rsid w:val="00C074F2"/>
    <w:rsid w:val="00C074F4"/>
    <w:rsid w:val="00C07808"/>
    <w:rsid w:val="00C07F62"/>
    <w:rsid w:val="00C1011D"/>
    <w:rsid w:val="00C10277"/>
    <w:rsid w:val="00C1033B"/>
    <w:rsid w:val="00C103C9"/>
    <w:rsid w:val="00C1063B"/>
    <w:rsid w:val="00C106D4"/>
    <w:rsid w:val="00C10714"/>
    <w:rsid w:val="00C10CAE"/>
    <w:rsid w:val="00C10DA2"/>
    <w:rsid w:val="00C10E35"/>
    <w:rsid w:val="00C10F07"/>
    <w:rsid w:val="00C110AB"/>
    <w:rsid w:val="00C112F8"/>
    <w:rsid w:val="00C113DC"/>
    <w:rsid w:val="00C11451"/>
    <w:rsid w:val="00C116AA"/>
    <w:rsid w:val="00C116D6"/>
    <w:rsid w:val="00C11897"/>
    <w:rsid w:val="00C11A8B"/>
    <w:rsid w:val="00C11DC0"/>
    <w:rsid w:val="00C12434"/>
    <w:rsid w:val="00C1245E"/>
    <w:rsid w:val="00C12513"/>
    <w:rsid w:val="00C12587"/>
    <w:rsid w:val="00C1263F"/>
    <w:rsid w:val="00C1299D"/>
    <w:rsid w:val="00C12B50"/>
    <w:rsid w:val="00C12D7F"/>
    <w:rsid w:val="00C12EEE"/>
    <w:rsid w:val="00C12F69"/>
    <w:rsid w:val="00C13236"/>
    <w:rsid w:val="00C13BA6"/>
    <w:rsid w:val="00C13C19"/>
    <w:rsid w:val="00C13C4E"/>
    <w:rsid w:val="00C13CC5"/>
    <w:rsid w:val="00C13D2F"/>
    <w:rsid w:val="00C140C7"/>
    <w:rsid w:val="00C14292"/>
    <w:rsid w:val="00C1437B"/>
    <w:rsid w:val="00C14387"/>
    <w:rsid w:val="00C14754"/>
    <w:rsid w:val="00C1479D"/>
    <w:rsid w:val="00C14841"/>
    <w:rsid w:val="00C14B4D"/>
    <w:rsid w:val="00C14D48"/>
    <w:rsid w:val="00C14F31"/>
    <w:rsid w:val="00C14FE8"/>
    <w:rsid w:val="00C150F0"/>
    <w:rsid w:val="00C15118"/>
    <w:rsid w:val="00C152EC"/>
    <w:rsid w:val="00C15496"/>
    <w:rsid w:val="00C15708"/>
    <w:rsid w:val="00C15741"/>
    <w:rsid w:val="00C158FA"/>
    <w:rsid w:val="00C15C37"/>
    <w:rsid w:val="00C15C6C"/>
    <w:rsid w:val="00C15CA0"/>
    <w:rsid w:val="00C15EB1"/>
    <w:rsid w:val="00C161FC"/>
    <w:rsid w:val="00C163C5"/>
    <w:rsid w:val="00C1642C"/>
    <w:rsid w:val="00C166EC"/>
    <w:rsid w:val="00C1687E"/>
    <w:rsid w:val="00C16899"/>
    <w:rsid w:val="00C16AC1"/>
    <w:rsid w:val="00C16B54"/>
    <w:rsid w:val="00C16B7A"/>
    <w:rsid w:val="00C16D31"/>
    <w:rsid w:val="00C16DE8"/>
    <w:rsid w:val="00C17096"/>
    <w:rsid w:val="00C17142"/>
    <w:rsid w:val="00C1775B"/>
    <w:rsid w:val="00C177B8"/>
    <w:rsid w:val="00C17A33"/>
    <w:rsid w:val="00C17C26"/>
    <w:rsid w:val="00C17E17"/>
    <w:rsid w:val="00C20020"/>
    <w:rsid w:val="00C20141"/>
    <w:rsid w:val="00C20399"/>
    <w:rsid w:val="00C205D4"/>
    <w:rsid w:val="00C20C7E"/>
    <w:rsid w:val="00C20CD9"/>
    <w:rsid w:val="00C20E4A"/>
    <w:rsid w:val="00C20EAD"/>
    <w:rsid w:val="00C20FFB"/>
    <w:rsid w:val="00C21056"/>
    <w:rsid w:val="00C2109C"/>
    <w:rsid w:val="00C212C6"/>
    <w:rsid w:val="00C2154F"/>
    <w:rsid w:val="00C21836"/>
    <w:rsid w:val="00C21974"/>
    <w:rsid w:val="00C21996"/>
    <w:rsid w:val="00C21A44"/>
    <w:rsid w:val="00C21C21"/>
    <w:rsid w:val="00C21C75"/>
    <w:rsid w:val="00C21DA5"/>
    <w:rsid w:val="00C21F91"/>
    <w:rsid w:val="00C22081"/>
    <w:rsid w:val="00C220DD"/>
    <w:rsid w:val="00C22158"/>
    <w:rsid w:val="00C22485"/>
    <w:rsid w:val="00C224B8"/>
    <w:rsid w:val="00C22657"/>
    <w:rsid w:val="00C22662"/>
    <w:rsid w:val="00C22741"/>
    <w:rsid w:val="00C228A6"/>
    <w:rsid w:val="00C22976"/>
    <w:rsid w:val="00C22C5D"/>
    <w:rsid w:val="00C22D8B"/>
    <w:rsid w:val="00C23247"/>
    <w:rsid w:val="00C23385"/>
    <w:rsid w:val="00C23DA2"/>
    <w:rsid w:val="00C24158"/>
    <w:rsid w:val="00C24177"/>
    <w:rsid w:val="00C24198"/>
    <w:rsid w:val="00C242D6"/>
    <w:rsid w:val="00C24488"/>
    <w:rsid w:val="00C24638"/>
    <w:rsid w:val="00C248E4"/>
    <w:rsid w:val="00C24A56"/>
    <w:rsid w:val="00C24B27"/>
    <w:rsid w:val="00C24B6B"/>
    <w:rsid w:val="00C24BAD"/>
    <w:rsid w:val="00C24D3F"/>
    <w:rsid w:val="00C24D74"/>
    <w:rsid w:val="00C24DB9"/>
    <w:rsid w:val="00C24DEE"/>
    <w:rsid w:val="00C253A9"/>
    <w:rsid w:val="00C2548B"/>
    <w:rsid w:val="00C25515"/>
    <w:rsid w:val="00C256AD"/>
    <w:rsid w:val="00C256DE"/>
    <w:rsid w:val="00C25700"/>
    <w:rsid w:val="00C257AD"/>
    <w:rsid w:val="00C2580C"/>
    <w:rsid w:val="00C259CA"/>
    <w:rsid w:val="00C25A18"/>
    <w:rsid w:val="00C25AB5"/>
    <w:rsid w:val="00C25AD2"/>
    <w:rsid w:val="00C25B76"/>
    <w:rsid w:val="00C25F66"/>
    <w:rsid w:val="00C260C6"/>
    <w:rsid w:val="00C26141"/>
    <w:rsid w:val="00C26229"/>
    <w:rsid w:val="00C266CB"/>
    <w:rsid w:val="00C2691F"/>
    <w:rsid w:val="00C2698A"/>
    <w:rsid w:val="00C26B3C"/>
    <w:rsid w:val="00C26DF2"/>
    <w:rsid w:val="00C27410"/>
    <w:rsid w:val="00C2742B"/>
    <w:rsid w:val="00C27660"/>
    <w:rsid w:val="00C276BB"/>
    <w:rsid w:val="00C2795F"/>
    <w:rsid w:val="00C27A4B"/>
    <w:rsid w:val="00C27AF2"/>
    <w:rsid w:val="00C27BC5"/>
    <w:rsid w:val="00C27C1D"/>
    <w:rsid w:val="00C27CEF"/>
    <w:rsid w:val="00C30061"/>
    <w:rsid w:val="00C302B1"/>
    <w:rsid w:val="00C302CB"/>
    <w:rsid w:val="00C302F9"/>
    <w:rsid w:val="00C304B1"/>
    <w:rsid w:val="00C306C8"/>
    <w:rsid w:val="00C30A17"/>
    <w:rsid w:val="00C30D1B"/>
    <w:rsid w:val="00C30D22"/>
    <w:rsid w:val="00C30D81"/>
    <w:rsid w:val="00C30EE5"/>
    <w:rsid w:val="00C30FC6"/>
    <w:rsid w:val="00C312EF"/>
    <w:rsid w:val="00C313A7"/>
    <w:rsid w:val="00C3153F"/>
    <w:rsid w:val="00C316B5"/>
    <w:rsid w:val="00C319B8"/>
    <w:rsid w:val="00C31ADF"/>
    <w:rsid w:val="00C31D9A"/>
    <w:rsid w:val="00C3219B"/>
    <w:rsid w:val="00C32312"/>
    <w:rsid w:val="00C3251A"/>
    <w:rsid w:val="00C3258A"/>
    <w:rsid w:val="00C32653"/>
    <w:rsid w:val="00C327D5"/>
    <w:rsid w:val="00C32911"/>
    <w:rsid w:val="00C32923"/>
    <w:rsid w:val="00C329F9"/>
    <w:rsid w:val="00C32B83"/>
    <w:rsid w:val="00C33038"/>
    <w:rsid w:val="00C33092"/>
    <w:rsid w:val="00C3362F"/>
    <w:rsid w:val="00C338C7"/>
    <w:rsid w:val="00C338F7"/>
    <w:rsid w:val="00C33A2E"/>
    <w:rsid w:val="00C33FFF"/>
    <w:rsid w:val="00C34128"/>
    <w:rsid w:val="00C3425F"/>
    <w:rsid w:val="00C342E1"/>
    <w:rsid w:val="00C343C0"/>
    <w:rsid w:val="00C34545"/>
    <w:rsid w:val="00C34827"/>
    <w:rsid w:val="00C34A02"/>
    <w:rsid w:val="00C34BC7"/>
    <w:rsid w:val="00C35067"/>
    <w:rsid w:val="00C350F7"/>
    <w:rsid w:val="00C3514E"/>
    <w:rsid w:val="00C3544C"/>
    <w:rsid w:val="00C35753"/>
    <w:rsid w:val="00C3588B"/>
    <w:rsid w:val="00C35988"/>
    <w:rsid w:val="00C35A58"/>
    <w:rsid w:val="00C35AC3"/>
    <w:rsid w:val="00C35B71"/>
    <w:rsid w:val="00C35B95"/>
    <w:rsid w:val="00C35BF6"/>
    <w:rsid w:val="00C35E62"/>
    <w:rsid w:val="00C35FA4"/>
    <w:rsid w:val="00C36468"/>
    <w:rsid w:val="00C365E9"/>
    <w:rsid w:val="00C365F5"/>
    <w:rsid w:val="00C3663B"/>
    <w:rsid w:val="00C36651"/>
    <w:rsid w:val="00C36880"/>
    <w:rsid w:val="00C368D9"/>
    <w:rsid w:val="00C36975"/>
    <w:rsid w:val="00C36995"/>
    <w:rsid w:val="00C36AEA"/>
    <w:rsid w:val="00C36B6A"/>
    <w:rsid w:val="00C36E42"/>
    <w:rsid w:val="00C37061"/>
    <w:rsid w:val="00C37290"/>
    <w:rsid w:val="00C3730A"/>
    <w:rsid w:val="00C3759A"/>
    <w:rsid w:val="00C375E4"/>
    <w:rsid w:val="00C377A6"/>
    <w:rsid w:val="00C37B28"/>
    <w:rsid w:val="00C37F03"/>
    <w:rsid w:val="00C404FA"/>
    <w:rsid w:val="00C409C0"/>
    <w:rsid w:val="00C40E29"/>
    <w:rsid w:val="00C40EF4"/>
    <w:rsid w:val="00C4109C"/>
    <w:rsid w:val="00C41524"/>
    <w:rsid w:val="00C41901"/>
    <w:rsid w:val="00C41BEC"/>
    <w:rsid w:val="00C41E56"/>
    <w:rsid w:val="00C42007"/>
    <w:rsid w:val="00C42052"/>
    <w:rsid w:val="00C420FD"/>
    <w:rsid w:val="00C42271"/>
    <w:rsid w:val="00C422D4"/>
    <w:rsid w:val="00C42401"/>
    <w:rsid w:val="00C4245D"/>
    <w:rsid w:val="00C425B0"/>
    <w:rsid w:val="00C426E7"/>
    <w:rsid w:val="00C4284A"/>
    <w:rsid w:val="00C42BCD"/>
    <w:rsid w:val="00C43108"/>
    <w:rsid w:val="00C433CD"/>
    <w:rsid w:val="00C43786"/>
    <w:rsid w:val="00C43885"/>
    <w:rsid w:val="00C438FF"/>
    <w:rsid w:val="00C43AA9"/>
    <w:rsid w:val="00C43B33"/>
    <w:rsid w:val="00C43D31"/>
    <w:rsid w:val="00C43F33"/>
    <w:rsid w:val="00C44051"/>
    <w:rsid w:val="00C44445"/>
    <w:rsid w:val="00C44504"/>
    <w:rsid w:val="00C445E1"/>
    <w:rsid w:val="00C447C5"/>
    <w:rsid w:val="00C44ACD"/>
    <w:rsid w:val="00C44B56"/>
    <w:rsid w:val="00C44D3C"/>
    <w:rsid w:val="00C44E00"/>
    <w:rsid w:val="00C44FB3"/>
    <w:rsid w:val="00C4512B"/>
    <w:rsid w:val="00C4517B"/>
    <w:rsid w:val="00C451C2"/>
    <w:rsid w:val="00C451F9"/>
    <w:rsid w:val="00C4528F"/>
    <w:rsid w:val="00C4554E"/>
    <w:rsid w:val="00C4569C"/>
    <w:rsid w:val="00C458CC"/>
    <w:rsid w:val="00C45C77"/>
    <w:rsid w:val="00C45CAE"/>
    <w:rsid w:val="00C46062"/>
    <w:rsid w:val="00C46356"/>
    <w:rsid w:val="00C4640D"/>
    <w:rsid w:val="00C465A1"/>
    <w:rsid w:val="00C465C6"/>
    <w:rsid w:val="00C46C66"/>
    <w:rsid w:val="00C46D74"/>
    <w:rsid w:val="00C46E2D"/>
    <w:rsid w:val="00C46F2E"/>
    <w:rsid w:val="00C470E6"/>
    <w:rsid w:val="00C47148"/>
    <w:rsid w:val="00C4717E"/>
    <w:rsid w:val="00C471AA"/>
    <w:rsid w:val="00C473F3"/>
    <w:rsid w:val="00C47E0C"/>
    <w:rsid w:val="00C501D9"/>
    <w:rsid w:val="00C5051C"/>
    <w:rsid w:val="00C5080F"/>
    <w:rsid w:val="00C50B7B"/>
    <w:rsid w:val="00C50BD7"/>
    <w:rsid w:val="00C50D57"/>
    <w:rsid w:val="00C50E0C"/>
    <w:rsid w:val="00C50E5E"/>
    <w:rsid w:val="00C50F10"/>
    <w:rsid w:val="00C50F89"/>
    <w:rsid w:val="00C511BD"/>
    <w:rsid w:val="00C5142F"/>
    <w:rsid w:val="00C51520"/>
    <w:rsid w:val="00C51536"/>
    <w:rsid w:val="00C515BE"/>
    <w:rsid w:val="00C51806"/>
    <w:rsid w:val="00C51988"/>
    <w:rsid w:val="00C51A0E"/>
    <w:rsid w:val="00C51B36"/>
    <w:rsid w:val="00C51D43"/>
    <w:rsid w:val="00C52026"/>
    <w:rsid w:val="00C522E8"/>
    <w:rsid w:val="00C52862"/>
    <w:rsid w:val="00C52925"/>
    <w:rsid w:val="00C52A65"/>
    <w:rsid w:val="00C52BF4"/>
    <w:rsid w:val="00C52CA9"/>
    <w:rsid w:val="00C52F17"/>
    <w:rsid w:val="00C5307C"/>
    <w:rsid w:val="00C53082"/>
    <w:rsid w:val="00C5310B"/>
    <w:rsid w:val="00C53188"/>
    <w:rsid w:val="00C531CA"/>
    <w:rsid w:val="00C5369C"/>
    <w:rsid w:val="00C53757"/>
    <w:rsid w:val="00C539C9"/>
    <w:rsid w:val="00C53A91"/>
    <w:rsid w:val="00C53ABC"/>
    <w:rsid w:val="00C53BFA"/>
    <w:rsid w:val="00C53E0E"/>
    <w:rsid w:val="00C53FA6"/>
    <w:rsid w:val="00C54124"/>
    <w:rsid w:val="00C54247"/>
    <w:rsid w:val="00C544F2"/>
    <w:rsid w:val="00C544F8"/>
    <w:rsid w:val="00C5471D"/>
    <w:rsid w:val="00C5473D"/>
    <w:rsid w:val="00C54914"/>
    <w:rsid w:val="00C54A56"/>
    <w:rsid w:val="00C54ACC"/>
    <w:rsid w:val="00C54BA2"/>
    <w:rsid w:val="00C54BA7"/>
    <w:rsid w:val="00C54D65"/>
    <w:rsid w:val="00C54DA5"/>
    <w:rsid w:val="00C54DD6"/>
    <w:rsid w:val="00C54FCD"/>
    <w:rsid w:val="00C55010"/>
    <w:rsid w:val="00C5508B"/>
    <w:rsid w:val="00C5508D"/>
    <w:rsid w:val="00C5511E"/>
    <w:rsid w:val="00C5521C"/>
    <w:rsid w:val="00C552F0"/>
    <w:rsid w:val="00C55473"/>
    <w:rsid w:val="00C5564A"/>
    <w:rsid w:val="00C55815"/>
    <w:rsid w:val="00C5582A"/>
    <w:rsid w:val="00C558F6"/>
    <w:rsid w:val="00C5599F"/>
    <w:rsid w:val="00C55D99"/>
    <w:rsid w:val="00C55DD5"/>
    <w:rsid w:val="00C55EE9"/>
    <w:rsid w:val="00C55F59"/>
    <w:rsid w:val="00C55FF6"/>
    <w:rsid w:val="00C5605C"/>
    <w:rsid w:val="00C56698"/>
    <w:rsid w:val="00C567E5"/>
    <w:rsid w:val="00C569CA"/>
    <w:rsid w:val="00C56C50"/>
    <w:rsid w:val="00C56C7A"/>
    <w:rsid w:val="00C56F3D"/>
    <w:rsid w:val="00C57018"/>
    <w:rsid w:val="00C5705E"/>
    <w:rsid w:val="00C570A9"/>
    <w:rsid w:val="00C5717F"/>
    <w:rsid w:val="00C571D9"/>
    <w:rsid w:val="00C5723B"/>
    <w:rsid w:val="00C572CC"/>
    <w:rsid w:val="00C5741B"/>
    <w:rsid w:val="00C576AF"/>
    <w:rsid w:val="00C576DA"/>
    <w:rsid w:val="00C57937"/>
    <w:rsid w:val="00C57BC0"/>
    <w:rsid w:val="00C57D41"/>
    <w:rsid w:val="00C57E3D"/>
    <w:rsid w:val="00C57F92"/>
    <w:rsid w:val="00C6012E"/>
    <w:rsid w:val="00C60255"/>
    <w:rsid w:val="00C604E2"/>
    <w:rsid w:val="00C60619"/>
    <w:rsid w:val="00C6069A"/>
    <w:rsid w:val="00C606A7"/>
    <w:rsid w:val="00C60BC9"/>
    <w:rsid w:val="00C60F7D"/>
    <w:rsid w:val="00C611E3"/>
    <w:rsid w:val="00C61539"/>
    <w:rsid w:val="00C61560"/>
    <w:rsid w:val="00C61574"/>
    <w:rsid w:val="00C615C2"/>
    <w:rsid w:val="00C616D8"/>
    <w:rsid w:val="00C61A4F"/>
    <w:rsid w:val="00C61A8B"/>
    <w:rsid w:val="00C61BB7"/>
    <w:rsid w:val="00C61BF7"/>
    <w:rsid w:val="00C61C26"/>
    <w:rsid w:val="00C61CF6"/>
    <w:rsid w:val="00C61D17"/>
    <w:rsid w:val="00C62302"/>
    <w:rsid w:val="00C62509"/>
    <w:rsid w:val="00C626B3"/>
    <w:rsid w:val="00C6279D"/>
    <w:rsid w:val="00C629A1"/>
    <w:rsid w:val="00C62B71"/>
    <w:rsid w:val="00C62D9D"/>
    <w:rsid w:val="00C62E73"/>
    <w:rsid w:val="00C62FA6"/>
    <w:rsid w:val="00C62FD0"/>
    <w:rsid w:val="00C62FF5"/>
    <w:rsid w:val="00C63247"/>
    <w:rsid w:val="00C632F1"/>
    <w:rsid w:val="00C63422"/>
    <w:rsid w:val="00C63511"/>
    <w:rsid w:val="00C6380F"/>
    <w:rsid w:val="00C63A65"/>
    <w:rsid w:val="00C63A74"/>
    <w:rsid w:val="00C63B00"/>
    <w:rsid w:val="00C63CAF"/>
    <w:rsid w:val="00C640F8"/>
    <w:rsid w:val="00C64398"/>
    <w:rsid w:val="00C64555"/>
    <w:rsid w:val="00C64687"/>
    <w:rsid w:val="00C646C1"/>
    <w:rsid w:val="00C64985"/>
    <w:rsid w:val="00C6499B"/>
    <w:rsid w:val="00C64A98"/>
    <w:rsid w:val="00C64B56"/>
    <w:rsid w:val="00C64B71"/>
    <w:rsid w:val="00C64DE9"/>
    <w:rsid w:val="00C64FB7"/>
    <w:rsid w:val="00C64FC4"/>
    <w:rsid w:val="00C653A0"/>
    <w:rsid w:val="00C655D3"/>
    <w:rsid w:val="00C656B4"/>
    <w:rsid w:val="00C65718"/>
    <w:rsid w:val="00C65894"/>
    <w:rsid w:val="00C65AA8"/>
    <w:rsid w:val="00C65C70"/>
    <w:rsid w:val="00C65EEE"/>
    <w:rsid w:val="00C6617C"/>
    <w:rsid w:val="00C66180"/>
    <w:rsid w:val="00C66204"/>
    <w:rsid w:val="00C66553"/>
    <w:rsid w:val="00C66561"/>
    <w:rsid w:val="00C66701"/>
    <w:rsid w:val="00C66804"/>
    <w:rsid w:val="00C6693A"/>
    <w:rsid w:val="00C669CC"/>
    <w:rsid w:val="00C66B5D"/>
    <w:rsid w:val="00C66BDF"/>
    <w:rsid w:val="00C6708B"/>
    <w:rsid w:val="00C6718D"/>
    <w:rsid w:val="00C671FF"/>
    <w:rsid w:val="00C67270"/>
    <w:rsid w:val="00C67274"/>
    <w:rsid w:val="00C673BA"/>
    <w:rsid w:val="00C673FA"/>
    <w:rsid w:val="00C6754D"/>
    <w:rsid w:val="00C6758D"/>
    <w:rsid w:val="00C676DD"/>
    <w:rsid w:val="00C67B25"/>
    <w:rsid w:val="00C67C06"/>
    <w:rsid w:val="00C67C3B"/>
    <w:rsid w:val="00C67C95"/>
    <w:rsid w:val="00C67CDC"/>
    <w:rsid w:val="00C67E3A"/>
    <w:rsid w:val="00C70028"/>
    <w:rsid w:val="00C70093"/>
    <w:rsid w:val="00C701B0"/>
    <w:rsid w:val="00C7071D"/>
    <w:rsid w:val="00C70A56"/>
    <w:rsid w:val="00C70A5B"/>
    <w:rsid w:val="00C70AFF"/>
    <w:rsid w:val="00C70F82"/>
    <w:rsid w:val="00C70FF6"/>
    <w:rsid w:val="00C710DC"/>
    <w:rsid w:val="00C71306"/>
    <w:rsid w:val="00C718C0"/>
    <w:rsid w:val="00C71DB0"/>
    <w:rsid w:val="00C71E4B"/>
    <w:rsid w:val="00C72034"/>
    <w:rsid w:val="00C72264"/>
    <w:rsid w:val="00C722F8"/>
    <w:rsid w:val="00C724B5"/>
    <w:rsid w:val="00C7280C"/>
    <w:rsid w:val="00C72B23"/>
    <w:rsid w:val="00C72BAC"/>
    <w:rsid w:val="00C72CE8"/>
    <w:rsid w:val="00C72E07"/>
    <w:rsid w:val="00C72E28"/>
    <w:rsid w:val="00C72F91"/>
    <w:rsid w:val="00C731FF"/>
    <w:rsid w:val="00C73220"/>
    <w:rsid w:val="00C7323F"/>
    <w:rsid w:val="00C73421"/>
    <w:rsid w:val="00C73602"/>
    <w:rsid w:val="00C73842"/>
    <w:rsid w:val="00C7386F"/>
    <w:rsid w:val="00C73AC8"/>
    <w:rsid w:val="00C73C1F"/>
    <w:rsid w:val="00C73CE7"/>
    <w:rsid w:val="00C73D05"/>
    <w:rsid w:val="00C73DD8"/>
    <w:rsid w:val="00C73FE8"/>
    <w:rsid w:val="00C740C6"/>
    <w:rsid w:val="00C7414A"/>
    <w:rsid w:val="00C741E7"/>
    <w:rsid w:val="00C742C4"/>
    <w:rsid w:val="00C742F3"/>
    <w:rsid w:val="00C744C1"/>
    <w:rsid w:val="00C74746"/>
    <w:rsid w:val="00C7498A"/>
    <w:rsid w:val="00C75107"/>
    <w:rsid w:val="00C75134"/>
    <w:rsid w:val="00C75188"/>
    <w:rsid w:val="00C7536A"/>
    <w:rsid w:val="00C753E9"/>
    <w:rsid w:val="00C7561B"/>
    <w:rsid w:val="00C7580B"/>
    <w:rsid w:val="00C75C96"/>
    <w:rsid w:val="00C75CC2"/>
    <w:rsid w:val="00C75DB5"/>
    <w:rsid w:val="00C75DC3"/>
    <w:rsid w:val="00C76197"/>
    <w:rsid w:val="00C762EC"/>
    <w:rsid w:val="00C763E1"/>
    <w:rsid w:val="00C763F6"/>
    <w:rsid w:val="00C76671"/>
    <w:rsid w:val="00C768AA"/>
    <w:rsid w:val="00C76A68"/>
    <w:rsid w:val="00C76ED5"/>
    <w:rsid w:val="00C76F49"/>
    <w:rsid w:val="00C76FDF"/>
    <w:rsid w:val="00C775DA"/>
    <w:rsid w:val="00C777F6"/>
    <w:rsid w:val="00C77A06"/>
    <w:rsid w:val="00C77B92"/>
    <w:rsid w:val="00C77BAC"/>
    <w:rsid w:val="00C77DE1"/>
    <w:rsid w:val="00C77FAC"/>
    <w:rsid w:val="00C77FB9"/>
    <w:rsid w:val="00C80385"/>
    <w:rsid w:val="00C804C7"/>
    <w:rsid w:val="00C8053A"/>
    <w:rsid w:val="00C80549"/>
    <w:rsid w:val="00C805C8"/>
    <w:rsid w:val="00C808EC"/>
    <w:rsid w:val="00C808FE"/>
    <w:rsid w:val="00C80ED6"/>
    <w:rsid w:val="00C812AB"/>
    <w:rsid w:val="00C81481"/>
    <w:rsid w:val="00C81560"/>
    <w:rsid w:val="00C817E1"/>
    <w:rsid w:val="00C819E5"/>
    <w:rsid w:val="00C81A29"/>
    <w:rsid w:val="00C81AF3"/>
    <w:rsid w:val="00C81DB9"/>
    <w:rsid w:val="00C81EAC"/>
    <w:rsid w:val="00C81FBF"/>
    <w:rsid w:val="00C82053"/>
    <w:rsid w:val="00C82107"/>
    <w:rsid w:val="00C8215E"/>
    <w:rsid w:val="00C82302"/>
    <w:rsid w:val="00C823DC"/>
    <w:rsid w:val="00C823E5"/>
    <w:rsid w:val="00C82449"/>
    <w:rsid w:val="00C82492"/>
    <w:rsid w:val="00C826E7"/>
    <w:rsid w:val="00C828D4"/>
    <w:rsid w:val="00C82F06"/>
    <w:rsid w:val="00C82FB2"/>
    <w:rsid w:val="00C82FED"/>
    <w:rsid w:val="00C83171"/>
    <w:rsid w:val="00C83196"/>
    <w:rsid w:val="00C831BF"/>
    <w:rsid w:val="00C831CB"/>
    <w:rsid w:val="00C8320C"/>
    <w:rsid w:val="00C8328F"/>
    <w:rsid w:val="00C83434"/>
    <w:rsid w:val="00C836F8"/>
    <w:rsid w:val="00C83796"/>
    <w:rsid w:val="00C83CA6"/>
    <w:rsid w:val="00C84348"/>
    <w:rsid w:val="00C8472F"/>
    <w:rsid w:val="00C847AB"/>
    <w:rsid w:val="00C84BEC"/>
    <w:rsid w:val="00C84FF7"/>
    <w:rsid w:val="00C8539B"/>
    <w:rsid w:val="00C85449"/>
    <w:rsid w:val="00C85594"/>
    <w:rsid w:val="00C85A96"/>
    <w:rsid w:val="00C85B2E"/>
    <w:rsid w:val="00C85E12"/>
    <w:rsid w:val="00C86135"/>
    <w:rsid w:val="00C86285"/>
    <w:rsid w:val="00C86470"/>
    <w:rsid w:val="00C864F2"/>
    <w:rsid w:val="00C865E6"/>
    <w:rsid w:val="00C867E4"/>
    <w:rsid w:val="00C86C42"/>
    <w:rsid w:val="00C86CF2"/>
    <w:rsid w:val="00C86D5E"/>
    <w:rsid w:val="00C86ED3"/>
    <w:rsid w:val="00C8701C"/>
    <w:rsid w:val="00C8727F"/>
    <w:rsid w:val="00C87475"/>
    <w:rsid w:val="00C87505"/>
    <w:rsid w:val="00C87737"/>
    <w:rsid w:val="00C8789B"/>
    <w:rsid w:val="00C8790E"/>
    <w:rsid w:val="00C87C89"/>
    <w:rsid w:val="00C87D83"/>
    <w:rsid w:val="00C87F23"/>
    <w:rsid w:val="00C87FF4"/>
    <w:rsid w:val="00C902E4"/>
    <w:rsid w:val="00C9060E"/>
    <w:rsid w:val="00C9080C"/>
    <w:rsid w:val="00C90816"/>
    <w:rsid w:val="00C908E8"/>
    <w:rsid w:val="00C90C23"/>
    <w:rsid w:val="00C9102A"/>
    <w:rsid w:val="00C910A3"/>
    <w:rsid w:val="00C916AF"/>
    <w:rsid w:val="00C91BCE"/>
    <w:rsid w:val="00C91BE1"/>
    <w:rsid w:val="00C91D43"/>
    <w:rsid w:val="00C91E69"/>
    <w:rsid w:val="00C91EB6"/>
    <w:rsid w:val="00C91EBF"/>
    <w:rsid w:val="00C91EE6"/>
    <w:rsid w:val="00C92097"/>
    <w:rsid w:val="00C920C0"/>
    <w:rsid w:val="00C92175"/>
    <w:rsid w:val="00C921E2"/>
    <w:rsid w:val="00C9226B"/>
    <w:rsid w:val="00C92464"/>
    <w:rsid w:val="00C92656"/>
    <w:rsid w:val="00C926D7"/>
    <w:rsid w:val="00C926E0"/>
    <w:rsid w:val="00C92740"/>
    <w:rsid w:val="00C92C1D"/>
    <w:rsid w:val="00C92C7D"/>
    <w:rsid w:val="00C930AE"/>
    <w:rsid w:val="00C9356E"/>
    <w:rsid w:val="00C9368A"/>
    <w:rsid w:val="00C93804"/>
    <w:rsid w:val="00C938DC"/>
    <w:rsid w:val="00C93A32"/>
    <w:rsid w:val="00C93D27"/>
    <w:rsid w:val="00C93E98"/>
    <w:rsid w:val="00C94095"/>
    <w:rsid w:val="00C942D2"/>
    <w:rsid w:val="00C942DB"/>
    <w:rsid w:val="00C94565"/>
    <w:rsid w:val="00C948B4"/>
    <w:rsid w:val="00C94B0E"/>
    <w:rsid w:val="00C94DC7"/>
    <w:rsid w:val="00C94DE1"/>
    <w:rsid w:val="00C95155"/>
    <w:rsid w:val="00C951BF"/>
    <w:rsid w:val="00C9542D"/>
    <w:rsid w:val="00C95526"/>
    <w:rsid w:val="00C9572F"/>
    <w:rsid w:val="00C9577A"/>
    <w:rsid w:val="00C95860"/>
    <w:rsid w:val="00C95B84"/>
    <w:rsid w:val="00C95BC4"/>
    <w:rsid w:val="00C960B1"/>
    <w:rsid w:val="00C960CA"/>
    <w:rsid w:val="00C9616D"/>
    <w:rsid w:val="00C96330"/>
    <w:rsid w:val="00C9633B"/>
    <w:rsid w:val="00C96AA7"/>
    <w:rsid w:val="00C96BD6"/>
    <w:rsid w:val="00C96CB9"/>
    <w:rsid w:val="00C96E22"/>
    <w:rsid w:val="00C9716A"/>
    <w:rsid w:val="00C9730A"/>
    <w:rsid w:val="00C97465"/>
    <w:rsid w:val="00C974CB"/>
    <w:rsid w:val="00C9772E"/>
    <w:rsid w:val="00C977D5"/>
    <w:rsid w:val="00C978B8"/>
    <w:rsid w:val="00C97ABD"/>
    <w:rsid w:val="00CA0014"/>
    <w:rsid w:val="00CA00AA"/>
    <w:rsid w:val="00CA0117"/>
    <w:rsid w:val="00CA041D"/>
    <w:rsid w:val="00CA044B"/>
    <w:rsid w:val="00CA0615"/>
    <w:rsid w:val="00CA0723"/>
    <w:rsid w:val="00CA0779"/>
    <w:rsid w:val="00CA077A"/>
    <w:rsid w:val="00CA0B33"/>
    <w:rsid w:val="00CA0B48"/>
    <w:rsid w:val="00CA0C46"/>
    <w:rsid w:val="00CA0D69"/>
    <w:rsid w:val="00CA0DC5"/>
    <w:rsid w:val="00CA0E35"/>
    <w:rsid w:val="00CA0E86"/>
    <w:rsid w:val="00CA1120"/>
    <w:rsid w:val="00CA1259"/>
    <w:rsid w:val="00CA16E0"/>
    <w:rsid w:val="00CA194D"/>
    <w:rsid w:val="00CA1D0C"/>
    <w:rsid w:val="00CA1D65"/>
    <w:rsid w:val="00CA1D66"/>
    <w:rsid w:val="00CA22E0"/>
    <w:rsid w:val="00CA273A"/>
    <w:rsid w:val="00CA27D5"/>
    <w:rsid w:val="00CA2957"/>
    <w:rsid w:val="00CA2CF0"/>
    <w:rsid w:val="00CA3003"/>
    <w:rsid w:val="00CA3149"/>
    <w:rsid w:val="00CA37BD"/>
    <w:rsid w:val="00CA3931"/>
    <w:rsid w:val="00CA394C"/>
    <w:rsid w:val="00CA39E3"/>
    <w:rsid w:val="00CA4233"/>
    <w:rsid w:val="00CA433B"/>
    <w:rsid w:val="00CA448C"/>
    <w:rsid w:val="00CA49CA"/>
    <w:rsid w:val="00CA4EA3"/>
    <w:rsid w:val="00CA4EB8"/>
    <w:rsid w:val="00CA510C"/>
    <w:rsid w:val="00CA5117"/>
    <w:rsid w:val="00CA5263"/>
    <w:rsid w:val="00CA52BC"/>
    <w:rsid w:val="00CA5373"/>
    <w:rsid w:val="00CA53CA"/>
    <w:rsid w:val="00CA53E5"/>
    <w:rsid w:val="00CA541B"/>
    <w:rsid w:val="00CA5582"/>
    <w:rsid w:val="00CA592A"/>
    <w:rsid w:val="00CA5C57"/>
    <w:rsid w:val="00CA5D3A"/>
    <w:rsid w:val="00CA6014"/>
    <w:rsid w:val="00CA603D"/>
    <w:rsid w:val="00CA630D"/>
    <w:rsid w:val="00CA63D6"/>
    <w:rsid w:val="00CA6632"/>
    <w:rsid w:val="00CA69C3"/>
    <w:rsid w:val="00CA6C2F"/>
    <w:rsid w:val="00CA6CA3"/>
    <w:rsid w:val="00CA6E06"/>
    <w:rsid w:val="00CA6FB3"/>
    <w:rsid w:val="00CA703C"/>
    <w:rsid w:val="00CA7446"/>
    <w:rsid w:val="00CA76B5"/>
    <w:rsid w:val="00CA76CA"/>
    <w:rsid w:val="00CA77D9"/>
    <w:rsid w:val="00CA7935"/>
    <w:rsid w:val="00CA7989"/>
    <w:rsid w:val="00CA7DA7"/>
    <w:rsid w:val="00CA7DA8"/>
    <w:rsid w:val="00CA7FCA"/>
    <w:rsid w:val="00CB0145"/>
    <w:rsid w:val="00CB01BB"/>
    <w:rsid w:val="00CB0402"/>
    <w:rsid w:val="00CB043C"/>
    <w:rsid w:val="00CB05F1"/>
    <w:rsid w:val="00CB069D"/>
    <w:rsid w:val="00CB0CBB"/>
    <w:rsid w:val="00CB10BC"/>
    <w:rsid w:val="00CB1598"/>
    <w:rsid w:val="00CB1659"/>
    <w:rsid w:val="00CB1661"/>
    <w:rsid w:val="00CB16F0"/>
    <w:rsid w:val="00CB17C4"/>
    <w:rsid w:val="00CB1B9E"/>
    <w:rsid w:val="00CB1D1F"/>
    <w:rsid w:val="00CB1EEF"/>
    <w:rsid w:val="00CB1F0D"/>
    <w:rsid w:val="00CB202A"/>
    <w:rsid w:val="00CB24CD"/>
    <w:rsid w:val="00CB272F"/>
    <w:rsid w:val="00CB2935"/>
    <w:rsid w:val="00CB2C73"/>
    <w:rsid w:val="00CB2D43"/>
    <w:rsid w:val="00CB302B"/>
    <w:rsid w:val="00CB3068"/>
    <w:rsid w:val="00CB3336"/>
    <w:rsid w:val="00CB36CD"/>
    <w:rsid w:val="00CB372D"/>
    <w:rsid w:val="00CB373A"/>
    <w:rsid w:val="00CB38D7"/>
    <w:rsid w:val="00CB3A3A"/>
    <w:rsid w:val="00CB3ABE"/>
    <w:rsid w:val="00CB3B46"/>
    <w:rsid w:val="00CB418C"/>
    <w:rsid w:val="00CB43D2"/>
    <w:rsid w:val="00CB44E9"/>
    <w:rsid w:val="00CB469F"/>
    <w:rsid w:val="00CB47E3"/>
    <w:rsid w:val="00CB491D"/>
    <w:rsid w:val="00CB4A46"/>
    <w:rsid w:val="00CB5097"/>
    <w:rsid w:val="00CB510A"/>
    <w:rsid w:val="00CB53CB"/>
    <w:rsid w:val="00CB5877"/>
    <w:rsid w:val="00CB5D70"/>
    <w:rsid w:val="00CB5E33"/>
    <w:rsid w:val="00CB6074"/>
    <w:rsid w:val="00CB61FA"/>
    <w:rsid w:val="00CB6268"/>
    <w:rsid w:val="00CB64B0"/>
    <w:rsid w:val="00CB650C"/>
    <w:rsid w:val="00CB6517"/>
    <w:rsid w:val="00CB66C2"/>
    <w:rsid w:val="00CB6726"/>
    <w:rsid w:val="00CB67D6"/>
    <w:rsid w:val="00CB6D75"/>
    <w:rsid w:val="00CB6DE5"/>
    <w:rsid w:val="00CB6E10"/>
    <w:rsid w:val="00CB6E91"/>
    <w:rsid w:val="00CB6F03"/>
    <w:rsid w:val="00CB7071"/>
    <w:rsid w:val="00CB71D2"/>
    <w:rsid w:val="00CB73AE"/>
    <w:rsid w:val="00CB753F"/>
    <w:rsid w:val="00CB75BD"/>
    <w:rsid w:val="00CB7956"/>
    <w:rsid w:val="00CB79CA"/>
    <w:rsid w:val="00CB7B85"/>
    <w:rsid w:val="00CC0122"/>
    <w:rsid w:val="00CC025B"/>
    <w:rsid w:val="00CC0267"/>
    <w:rsid w:val="00CC02A1"/>
    <w:rsid w:val="00CC03F2"/>
    <w:rsid w:val="00CC045A"/>
    <w:rsid w:val="00CC0847"/>
    <w:rsid w:val="00CC0CA8"/>
    <w:rsid w:val="00CC0D4C"/>
    <w:rsid w:val="00CC136C"/>
    <w:rsid w:val="00CC148D"/>
    <w:rsid w:val="00CC14D5"/>
    <w:rsid w:val="00CC1679"/>
    <w:rsid w:val="00CC1853"/>
    <w:rsid w:val="00CC1A13"/>
    <w:rsid w:val="00CC1AB1"/>
    <w:rsid w:val="00CC1B9F"/>
    <w:rsid w:val="00CC1D80"/>
    <w:rsid w:val="00CC1EFC"/>
    <w:rsid w:val="00CC1F5D"/>
    <w:rsid w:val="00CC209F"/>
    <w:rsid w:val="00CC21A3"/>
    <w:rsid w:val="00CC22C4"/>
    <w:rsid w:val="00CC2427"/>
    <w:rsid w:val="00CC248E"/>
    <w:rsid w:val="00CC28C7"/>
    <w:rsid w:val="00CC2B00"/>
    <w:rsid w:val="00CC2EE3"/>
    <w:rsid w:val="00CC3012"/>
    <w:rsid w:val="00CC304E"/>
    <w:rsid w:val="00CC319B"/>
    <w:rsid w:val="00CC32C5"/>
    <w:rsid w:val="00CC3430"/>
    <w:rsid w:val="00CC34C3"/>
    <w:rsid w:val="00CC372F"/>
    <w:rsid w:val="00CC3860"/>
    <w:rsid w:val="00CC3A6E"/>
    <w:rsid w:val="00CC4010"/>
    <w:rsid w:val="00CC4083"/>
    <w:rsid w:val="00CC41D0"/>
    <w:rsid w:val="00CC4764"/>
    <w:rsid w:val="00CC4914"/>
    <w:rsid w:val="00CC49A3"/>
    <w:rsid w:val="00CC4CA7"/>
    <w:rsid w:val="00CC4CE9"/>
    <w:rsid w:val="00CC4DCB"/>
    <w:rsid w:val="00CC5013"/>
    <w:rsid w:val="00CC5101"/>
    <w:rsid w:val="00CC5115"/>
    <w:rsid w:val="00CC5242"/>
    <w:rsid w:val="00CC5278"/>
    <w:rsid w:val="00CC528C"/>
    <w:rsid w:val="00CC529D"/>
    <w:rsid w:val="00CC5387"/>
    <w:rsid w:val="00CC53D6"/>
    <w:rsid w:val="00CC58F5"/>
    <w:rsid w:val="00CC5B52"/>
    <w:rsid w:val="00CC5CF1"/>
    <w:rsid w:val="00CC6020"/>
    <w:rsid w:val="00CC6100"/>
    <w:rsid w:val="00CC6139"/>
    <w:rsid w:val="00CC61DB"/>
    <w:rsid w:val="00CC6713"/>
    <w:rsid w:val="00CC6801"/>
    <w:rsid w:val="00CC6894"/>
    <w:rsid w:val="00CC69DA"/>
    <w:rsid w:val="00CC6B79"/>
    <w:rsid w:val="00CC6C9E"/>
    <w:rsid w:val="00CC6CDF"/>
    <w:rsid w:val="00CC6E88"/>
    <w:rsid w:val="00CC6EF6"/>
    <w:rsid w:val="00CC70A1"/>
    <w:rsid w:val="00CC73FD"/>
    <w:rsid w:val="00CC7797"/>
    <w:rsid w:val="00CC7958"/>
    <w:rsid w:val="00CC79F3"/>
    <w:rsid w:val="00CC7B41"/>
    <w:rsid w:val="00CC7C2E"/>
    <w:rsid w:val="00CC7DA6"/>
    <w:rsid w:val="00CC7DED"/>
    <w:rsid w:val="00CC7DFB"/>
    <w:rsid w:val="00CC7E83"/>
    <w:rsid w:val="00CC7EE1"/>
    <w:rsid w:val="00CC7FAF"/>
    <w:rsid w:val="00CD00A8"/>
    <w:rsid w:val="00CD0287"/>
    <w:rsid w:val="00CD0309"/>
    <w:rsid w:val="00CD0511"/>
    <w:rsid w:val="00CD06BA"/>
    <w:rsid w:val="00CD0BB4"/>
    <w:rsid w:val="00CD0D29"/>
    <w:rsid w:val="00CD0D54"/>
    <w:rsid w:val="00CD0F5B"/>
    <w:rsid w:val="00CD0F62"/>
    <w:rsid w:val="00CD0FB7"/>
    <w:rsid w:val="00CD12EE"/>
    <w:rsid w:val="00CD1303"/>
    <w:rsid w:val="00CD141C"/>
    <w:rsid w:val="00CD1510"/>
    <w:rsid w:val="00CD1590"/>
    <w:rsid w:val="00CD15DF"/>
    <w:rsid w:val="00CD193C"/>
    <w:rsid w:val="00CD1B85"/>
    <w:rsid w:val="00CD1BC9"/>
    <w:rsid w:val="00CD1C4E"/>
    <w:rsid w:val="00CD1C8F"/>
    <w:rsid w:val="00CD1F81"/>
    <w:rsid w:val="00CD2027"/>
    <w:rsid w:val="00CD24A2"/>
    <w:rsid w:val="00CD24B3"/>
    <w:rsid w:val="00CD2712"/>
    <w:rsid w:val="00CD2862"/>
    <w:rsid w:val="00CD286B"/>
    <w:rsid w:val="00CD2C41"/>
    <w:rsid w:val="00CD2C4B"/>
    <w:rsid w:val="00CD2CD8"/>
    <w:rsid w:val="00CD2DA7"/>
    <w:rsid w:val="00CD2E11"/>
    <w:rsid w:val="00CD2F25"/>
    <w:rsid w:val="00CD2FB8"/>
    <w:rsid w:val="00CD3044"/>
    <w:rsid w:val="00CD307B"/>
    <w:rsid w:val="00CD3096"/>
    <w:rsid w:val="00CD3121"/>
    <w:rsid w:val="00CD3330"/>
    <w:rsid w:val="00CD336A"/>
    <w:rsid w:val="00CD344A"/>
    <w:rsid w:val="00CD3502"/>
    <w:rsid w:val="00CD37EE"/>
    <w:rsid w:val="00CD3BD8"/>
    <w:rsid w:val="00CD3DB7"/>
    <w:rsid w:val="00CD3E3F"/>
    <w:rsid w:val="00CD4143"/>
    <w:rsid w:val="00CD4254"/>
    <w:rsid w:val="00CD443E"/>
    <w:rsid w:val="00CD444F"/>
    <w:rsid w:val="00CD45D8"/>
    <w:rsid w:val="00CD4716"/>
    <w:rsid w:val="00CD4ADC"/>
    <w:rsid w:val="00CD4E6F"/>
    <w:rsid w:val="00CD4F41"/>
    <w:rsid w:val="00CD5428"/>
    <w:rsid w:val="00CD552D"/>
    <w:rsid w:val="00CD554E"/>
    <w:rsid w:val="00CD5661"/>
    <w:rsid w:val="00CD5805"/>
    <w:rsid w:val="00CD585A"/>
    <w:rsid w:val="00CD58F6"/>
    <w:rsid w:val="00CD5B02"/>
    <w:rsid w:val="00CD5BF6"/>
    <w:rsid w:val="00CD5D1F"/>
    <w:rsid w:val="00CD5DD3"/>
    <w:rsid w:val="00CD5DF3"/>
    <w:rsid w:val="00CD60AF"/>
    <w:rsid w:val="00CD613E"/>
    <w:rsid w:val="00CD6363"/>
    <w:rsid w:val="00CD6542"/>
    <w:rsid w:val="00CD6E1A"/>
    <w:rsid w:val="00CD7186"/>
    <w:rsid w:val="00CD7432"/>
    <w:rsid w:val="00CD7564"/>
    <w:rsid w:val="00CD76DF"/>
    <w:rsid w:val="00CD785C"/>
    <w:rsid w:val="00CD7B1B"/>
    <w:rsid w:val="00CD7E45"/>
    <w:rsid w:val="00CD7EE2"/>
    <w:rsid w:val="00CE00D6"/>
    <w:rsid w:val="00CE04A9"/>
    <w:rsid w:val="00CE0C1F"/>
    <w:rsid w:val="00CE0C35"/>
    <w:rsid w:val="00CE103A"/>
    <w:rsid w:val="00CE1042"/>
    <w:rsid w:val="00CE108F"/>
    <w:rsid w:val="00CE10CC"/>
    <w:rsid w:val="00CE13E1"/>
    <w:rsid w:val="00CE1592"/>
    <w:rsid w:val="00CE15DF"/>
    <w:rsid w:val="00CE1715"/>
    <w:rsid w:val="00CE17F6"/>
    <w:rsid w:val="00CE18CD"/>
    <w:rsid w:val="00CE1CD0"/>
    <w:rsid w:val="00CE2720"/>
    <w:rsid w:val="00CE2722"/>
    <w:rsid w:val="00CE2B0B"/>
    <w:rsid w:val="00CE2B51"/>
    <w:rsid w:val="00CE328C"/>
    <w:rsid w:val="00CE32BE"/>
    <w:rsid w:val="00CE33B4"/>
    <w:rsid w:val="00CE3A09"/>
    <w:rsid w:val="00CE3AD2"/>
    <w:rsid w:val="00CE4257"/>
    <w:rsid w:val="00CE44EF"/>
    <w:rsid w:val="00CE45F7"/>
    <w:rsid w:val="00CE48D2"/>
    <w:rsid w:val="00CE4B73"/>
    <w:rsid w:val="00CE4D6F"/>
    <w:rsid w:val="00CE4FF8"/>
    <w:rsid w:val="00CE5072"/>
    <w:rsid w:val="00CE5092"/>
    <w:rsid w:val="00CE50A4"/>
    <w:rsid w:val="00CE549B"/>
    <w:rsid w:val="00CE5693"/>
    <w:rsid w:val="00CE5850"/>
    <w:rsid w:val="00CE5997"/>
    <w:rsid w:val="00CE5A2B"/>
    <w:rsid w:val="00CE5AF0"/>
    <w:rsid w:val="00CE5D3B"/>
    <w:rsid w:val="00CE5D73"/>
    <w:rsid w:val="00CE5DFD"/>
    <w:rsid w:val="00CE6188"/>
    <w:rsid w:val="00CE618D"/>
    <w:rsid w:val="00CE6195"/>
    <w:rsid w:val="00CE61D1"/>
    <w:rsid w:val="00CE64CD"/>
    <w:rsid w:val="00CE7021"/>
    <w:rsid w:val="00CE70F3"/>
    <w:rsid w:val="00CE7159"/>
    <w:rsid w:val="00CE718E"/>
    <w:rsid w:val="00CE7530"/>
    <w:rsid w:val="00CE795F"/>
    <w:rsid w:val="00CE7A6A"/>
    <w:rsid w:val="00CE7AF6"/>
    <w:rsid w:val="00CE7B10"/>
    <w:rsid w:val="00CE7B8F"/>
    <w:rsid w:val="00CE7BF8"/>
    <w:rsid w:val="00CE7E70"/>
    <w:rsid w:val="00CF00FE"/>
    <w:rsid w:val="00CF05DF"/>
    <w:rsid w:val="00CF073A"/>
    <w:rsid w:val="00CF082D"/>
    <w:rsid w:val="00CF0886"/>
    <w:rsid w:val="00CF0A96"/>
    <w:rsid w:val="00CF0C38"/>
    <w:rsid w:val="00CF0CB0"/>
    <w:rsid w:val="00CF0CEF"/>
    <w:rsid w:val="00CF0F66"/>
    <w:rsid w:val="00CF10AD"/>
    <w:rsid w:val="00CF1328"/>
    <w:rsid w:val="00CF1538"/>
    <w:rsid w:val="00CF184A"/>
    <w:rsid w:val="00CF186C"/>
    <w:rsid w:val="00CF1968"/>
    <w:rsid w:val="00CF1A35"/>
    <w:rsid w:val="00CF1BA4"/>
    <w:rsid w:val="00CF1C12"/>
    <w:rsid w:val="00CF1CFB"/>
    <w:rsid w:val="00CF1D72"/>
    <w:rsid w:val="00CF1D8C"/>
    <w:rsid w:val="00CF2219"/>
    <w:rsid w:val="00CF236D"/>
    <w:rsid w:val="00CF27C1"/>
    <w:rsid w:val="00CF2884"/>
    <w:rsid w:val="00CF29F1"/>
    <w:rsid w:val="00CF2A65"/>
    <w:rsid w:val="00CF2AB2"/>
    <w:rsid w:val="00CF2B92"/>
    <w:rsid w:val="00CF2BF7"/>
    <w:rsid w:val="00CF2CF2"/>
    <w:rsid w:val="00CF2D58"/>
    <w:rsid w:val="00CF31A3"/>
    <w:rsid w:val="00CF3694"/>
    <w:rsid w:val="00CF3B02"/>
    <w:rsid w:val="00CF3B29"/>
    <w:rsid w:val="00CF3C3A"/>
    <w:rsid w:val="00CF3E28"/>
    <w:rsid w:val="00CF3E45"/>
    <w:rsid w:val="00CF3FEE"/>
    <w:rsid w:val="00CF403B"/>
    <w:rsid w:val="00CF40B5"/>
    <w:rsid w:val="00CF4196"/>
    <w:rsid w:val="00CF44A9"/>
    <w:rsid w:val="00CF45C6"/>
    <w:rsid w:val="00CF45E8"/>
    <w:rsid w:val="00CF4600"/>
    <w:rsid w:val="00CF48CC"/>
    <w:rsid w:val="00CF4B28"/>
    <w:rsid w:val="00CF4B91"/>
    <w:rsid w:val="00CF4CBA"/>
    <w:rsid w:val="00CF4CCD"/>
    <w:rsid w:val="00CF4F48"/>
    <w:rsid w:val="00CF4FDF"/>
    <w:rsid w:val="00CF5102"/>
    <w:rsid w:val="00CF516E"/>
    <w:rsid w:val="00CF58F7"/>
    <w:rsid w:val="00CF59EB"/>
    <w:rsid w:val="00CF5C3F"/>
    <w:rsid w:val="00CF5D0E"/>
    <w:rsid w:val="00CF5E67"/>
    <w:rsid w:val="00CF6068"/>
    <w:rsid w:val="00CF63F3"/>
    <w:rsid w:val="00CF6501"/>
    <w:rsid w:val="00CF6957"/>
    <w:rsid w:val="00CF6BA5"/>
    <w:rsid w:val="00CF6C97"/>
    <w:rsid w:val="00CF6EC4"/>
    <w:rsid w:val="00CF6EED"/>
    <w:rsid w:val="00CF6F90"/>
    <w:rsid w:val="00CF6F95"/>
    <w:rsid w:val="00CF705A"/>
    <w:rsid w:val="00CF714C"/>
    <w:rsid w:val="00CF79DB"/>
    <w:rsid w:val="00CF7AC1"/>
    <w:rsid w:val="00CF7B7E"/>
    <w:rsid w:val="00CF7BB8"/>
    <w:rsid w:val="00CF7E96"/>
    <w:rsid w:val="00D00066"/>
    <w:rsid w:val="00D00211"/>
    <w:rsid w:val="00D0023C"/>
    <w:rsid w:val="00D00248"/>
    <w:rsid w:val="00D0025E"/>
    <w:rsid w:val="00D00295"/>
    <w:rsid w:val="00D00572"/>
    <w:rsid w:val="00D005F0"/>
    <w:rsid w:val="00D00917"/>
    <w:rsid w:val="00D00CCD"/>
    <w:rsid w:val="00D00F3B"/>
    <w:rsid w:val="00D0103F"/>
    <w:rsid w:val="00D010F8"/>
    <w:rsid w:val="00D01343"/>
    <w:rsid w:val="00D014BB"/>
    <w:rsid w:val="00D01575"/>
    <w:rsid w:val="00D016F2"/>
    <w:rsid w:val="00D01778"/>
    <w:rsid w:val="00D01818"/>
    <w:rsid w:val="00D019E0"/>
    <w:rsid w:val="00D01A8E"/>
    <w:rsid w:val="00D01A98"/>
    <w:rsid w:val="00D01EF7"/>
    <w:rsid w:val="00D02620"/>
    <w:rsid w:val="00D027C5"/>
    <w:rsid w:val="00D028B4"/>
    <w:rsid w:val="00D029C1"/>
    <w:rsid w:val="00D02BF4"/>
    <w:rsid w:val="00D03402"/>
    <w:rsid w:val="00D0381E"/>
    <w:rsid w:val="00D038E0"/>
    <w:rsid w:val="00D03A17"/>
    <w:rsid w:val="00D03AA5"/>
    <w:rsid w:val="00D03B9D"/>
    <w:rsid w:val="00D03C64"/>
    <w:rsid w:val="00D03D30"/>
    <w:rsid w:val="00D03D9A"/>
    <w:rsid w:val="00D03FC5"/>
    <w:rsid w:val="00D04250"/>
    <w:rsid w:val="00D042F2"/>
    <w:rsid w:val="00D0444B"/>
    <w:rsid w:val="00D04681"/>
    <w:rsid w:val="00D04803"/>
    <w:rsid w:val="00D04AAF"/>
    <w:rsid w:val="00D04B13"/>
    <w:rsid w:val="00D04BB6"/>
    <w:rsid w:val="00D04DC6"/>
    <w:rsid w:val="00D04DEC"/>
    <w:rsid w:val="00D0505D"/>
    <w:rsid w:val="00D0534E"/>
    <w:rsid w:val="00D05542"/>
    <w:rsid w:val="00D0559D"/>
    <w:rsid w:val="00D056C5"/>
    <w:rsid w:val="00D05AFA"/>
    <w:rsid w:val="00D05BC4"/>
    <w:rsid w:val="00D05E6D"/>
    <w:rsid w:val="00D05EA3"/>
    <w:rsid w:val="00D05EB4"/>
    <w:rsid w:val="00D05EBE"/>
    <w:rsid w:val="00D06015"/>
    <w:rsid w:val="00D062CB"/>
    <w:rsid w:val="00D06571"/>
    <w:rsid w:val="00D065A7"/>
    <w:rsid w:val="00D06A83"/>
    <w:rsid w:val="00D06BD1"/>
    <w:rsid w:val="00D06D58"/>
    <w:rsid w:val="00D06D96"/>
    <w:rsid w:val="00D06FA5"/>
    <w:rsid w:val="00D06FD1"/>
    <w:rsid w:val="00D07035"/>
    <w:rsid w:val="00D07095"/>
    <w:rsid w:val="00D07123"/>
    <w:rsid w:val="00D07690"/>
    <w:rsid w:val="00D07AB0"/>
    <w:rsid w:val="00D07BBF"/>
    <w:rsid w:val="00D07D91"/>
    <w:rsid w:val="00D1041E"/>
    <w:rsid w:val="00D10565"/>
    <w:rsid w:val="00D10730"/>
    <w:rsid w:val="00D109C6"/>
    <w:rsid w:val="00D10A5E"/>
    <w:rsid w:val="00D10E55"/>
    <w:rsid w:val="00D10E9C"/>
    <w:rsid w:val="00D11024"/>
    <w:rsid w:val="00D110E5"/>
    <w:rsid w:val="00D11463"/>
    <w:rsid w:val="00D11590"/>
    <w:rsid w:val="00D116E6"/>
    <w:rsid w:val="00D11B6F"/>
    <w:rsid w:val="00D11C63"/>
    <w:rsid w:val="00D11C91"/>
    <w:rsid w:val="00D11D71"/>
    <w:rsid w:val="00D11E62"/>
    <w:rsid w:val="00D1216D"/>
    <w:rsid w:val="00D123B7"/>
    <w:rsid w:val="00D123D5"/>
    <w:rsid w:val="00D12435"/>
    <w:rsid w:val="00D12482"/>
    <w:rsid w:val="00D12683"/>
    <w:rsid w:val="00D12795"/>
    <w:rsid w:val="00D12947"/>
    <w:rsid w:val="00D129A5"/>
    <w:rsid w:val="00D12C3A"/>
    <w:rsid w:val="00D12DE3"/>
    <w:rsid w:val="00D12DF3"/>
    <w:rsid w:val="00D12E05"/>
    <w:rsid w:val="00D12F6B"/>
    <w:rsid w:val="00D12FFC"/>
    <w:rsid w:val="00D13087"/>
    <w:rsid w:val="00D13112"/>
    <w:rsid w:val="00D1325B"/>
    <w:rsid w:val="00D13477"/>
    <w:rsid w:val="00D1396A"/>
    <w:rsid w:val="00D140A3"/>
    <w:rsid w:val="00D14569"/>
    <w:rsid w:val="00D1467A"/>
    <w:rsid w:val="00D14BD7"/>
    <w:rsid w:val="00D14C66"/>
    <w:rsid w:val="00D14C86"/>
    <w:rsid w:val="00D14ED3"/>
    <w:rsid w:val="00D14F27"/>
    <w:rsid w:val="00D14F9E"/>
    <w:rsid w:val="00D15007"/>
    <w:rsid w:val="00D154A8"/>
    <w:rsid w:val="00D15568"/>
    <w:rsid w:val="00D156CA"/>
    <w:rsid w:val="00D1583A"/>
    <w:rsid w:val="00D15A94"/>
    <w:rsid w:val="00D15BE5"/>
    <w:rsid w:val="00D15DA8"/>
    <w:rsid w:val="00D15F63"/>
    <w:rsid w:val="00D15FE6"/>
    <w:rsid w:val="00D160B3"/>
    <w:rsid w:val="00D16128"/>
    <w:rsid w:val="00D16300"/>
    <w:rsid w:val="00D164C8"/>
    <w:rsid w:val="00D1657D"/>
    <w:rsid w:val="00D1662B"/>
    <w:rsid w:val="00D1686B"/>
    <w:rsid w:val="00D16AFD"/>
    <w:rsid w:val="00D16B38"/>
    <w:rsid w:val="00D16CC9"/>
    <w:rsid w:val="00D16E61"/>
    <w:rsid w:val="00D16FA3"/>
    <w:rsid w:val="00D17284"/>
    <w:rsid w:val="00D174B5"/>
    <w:rsid w:val="00D17655"/>
    <w:rsid w:val="00D17789"/>
    <w:rsid w:val="00D17819"/>
    <w:rsid w:val="00D179CE"/>
    <w:rsid w:val="00D17E4A"/>
    <w:rsid w:val="00D2033A"/>
    <w:rsid w:val="00D20368"/>
    <w:rsid w:val="00D207C3"/>
    <w:rsid w:val="00D20884"/>
    <w:rsid w:val="00D20909"/>
    <w:rsid w:val="00D20A41"/>
    <w:rsid w:val="00D20AC1"/>
    <w:rsid w:val="00D20AC6"/>
    <w:rsid w:val="00D20B77"/>
    <w:rsid w:val="00D20D3D"/>
    <w:rsid w:val="00D21638"/>
    <w:rsid w:val="00D216AB"/>
    <w:rsid w:val="00D21758"/>
    <w:rsid w:val="00D2188C"/>
    <w:rsid w:val="00D21ACC"/>
    <w:rsid w:val="00D21EB2"/>
    <w:rsid w:val="00D22359"/>
    <w:rsid w:val="00D2278A"/>
    <w:rsid w:val="00D229FF"/>
    <w:rsid w:val="00D22D6E"/>
    <w:rsid w:val="00D22FEC"/>
    <w:rsid w:val="00D23041"/>
    <w:rsid w:val="00D230FA"/>
    <w:rsid w:val="00D23166"/>
    <w:rsid w:val="00D231A0"/>
    <w:rsid w:val="00D23674"/>
    <w:rsid w:val="00D236EB"/>
    <w:rsid w:val="00D23745"/>
    <w:rsid w:val="00D23754"/>
    <w:rsid w:val="00D23975"/>
    <w:rsid w:val="00D239F7"/>
    <w:rsid w:val="00D23BE3"/>
    <w:rsid w:val="00D23C07"/>
    <w:rsid w:val="00D23F14"/>
    <w:rsid w:val="00D24089"/>
    <w:rsid w:val="00D24143"/>
    <w:rsid w:val="00D242EF"/>
    <w:rsid w:val="00D242F5"/>
    <w:rsid w:val="00D24477"/>
    <w:rsid w:val="00D244A7"/>
    <w:rsid w:val="00D2462C"/>
    <w:rsid w:val="00D2475A"/>
    <w:rsid w:val="00D2483F"/>
    <w:rsid w:val="00D24A2E"/>
    <w:rsid w:val="00D24A65"/>
    <w:rsid w:val="00D24B46"/>
    <w:rsid w:val="00D2501F"/>
    <w:rsid w:val="00D25106"/>
    <w:rsid w:val="00D25202"/>
    <w:rsid w:val="00D25818"/>
    <w:rsid w:val="00D25882"/>
    <w:rsid w:val="00D25896"/>
    <w:rsid w:val="00D258A7"/>
    <w:rsid w:val="00D259A0"/>
    <w:rsid w:val="00D259A6"/>
    <w:rsid w:val="00D25AE4"/>
    <w:rsid w:val="00D25C16"/>
    <w:rsid w:val="00D25D70"/>
    <w:rsid w:val="00D25D82"/>
    <w:rsid w:val="00D25EFC"/>
    <w:rsid w:val="00D26487"/>
    <w:rsid w:val="00D2648D"/>
    <w:rsid w:val="00D2669C"/>
    <w:rsid w:val="00D266CF"/>
    <w:rsid w:val="00D26885"/>
    <w:rsid w:val="00D26910"/>
    <w:rsid w:val="00D2697D"/>
    <w:rsid w:val="00D26BAD"/>
    <w:rsid w:val="00D26C08"/>
    <w:rsid w:val="00D26C0A"/>
    <w:rsid w:val="00D26C26"/>
    <w:rsid w:val="00D27083"/>
    <w:rsid w:val="00D272F3"/>
    <w:rsid w:val="00D2732A"/>
    <w:rsid w:val="00D27452"/>
    <w:rsid w:val="00D274AC"/>
    <w:rsid w:val="00D2764B"/>
    <w:rsid w:val="00D2791A"/>
    <w:rsid w:val="00D27972"/>
    <w:rsid w:val="00D279C0"/>
    <w:rsid w:val="00D27D76"/>
    <w:rsid w:val="00D3012F"/>
    <w:rsid w:val="00D3020A"/>
    <w:rsid w:val="00D303C0"/>
    <w:rsid w:val="00D30908"/>
    <w:rsid w:val="00D309A4"/>
    <w:rsid w:val="00D309C5"/>
    <w:rsid w:val="00D30E35"/>
    <w:rsid w:val="00D30E36"/>
    <w:rsid w:val="00D3109D"/>
    <w:rsid w:val="00D311AC"/>
    <w:rsid w:val="00D3134E"/>
    <w:rsid w:val="00D31562"/>
    <w:rsid w:val="00D3156E"/>
    <w:rsid w:val="00D315D7"/>
    <w:rsid w:val="00D316E2"/>
    <w:rsid w:val="00D31750"/>
    <w:rsid w:val="00D3176B"/>
    <w:rsid w:val="00D31849"/>
    <w:rsid w:val="00D31A62"/>
    <w:rsid w:val="00D31E04"/>
    <w:rsid w:val="00D31EAF"/>
    <w:rsid w:val="00D32370"/>
    <w:rsid w:val="00D32582"/>
    <w:rsid w:val="00D32613"/>
    <w:rsid w:val="00D3268D"/>
    <w:rsid w:val="00D3282D"/>
    <w:rsid w:val="00D3283D"/>
    <w:rsid w:val="00D3297C"/>
    <w:rsid w:val="00D329A2"/>
    <w:rsid w:val="00D329E5"/>
    <w:rsid w:val="00D32A72"/>
    <w:rsid w:val="00D32D38"/>
    <w:rsid w:val="00D32D77"/>
    <w:rsid w:val="00D32D85"/>
    <w:rsid w:val="00D32E0B"/>
    <w:rsid w:val="00D32FB4"/>
    <w:rsid w:val="00D330A5"/>
    <w:rsid w:val="00D330DE"/>
    <w:rsid w:val="00D3322B"/>
    <w:rsid w:val="00D33310"/>
    <w:rsid w:val="00D33640"/>
    <w:rsid w:val="00D336C2"/>
    <w:rsid w:val="00D3399E"/>
    <w:rsid w:val="00D33A0C"/>
    <w:rsid w:val="00D33B12"/>
    <w:rsid w:val="00D33B1A"/>
    <w:rsid w:val="00D33C14"/>
    <w:rsid w:val="00D33EA4"/>
    <w:rsid w:val="00D33F02"/>
    <w:rsid w:val="00D33FEC"/>
    <w:rsid w:val="00D342DD"/>
    <w:rsid w:val="00D3435B"/>
    <w:rsid w:val="00D345C5"/>
    <w:rsid w:val="00D3466F"/>
    <w:rsid w:val="00D346C6"/>
    <w:rsid w:val="00D34716"/>
    <w:rsid w:val="00D347FB"/>
    <w:rsid w:val="00D34AF8"/>
    <w:rsid w:val="00D34F83"/>
    <w:rsid w:val="00D3512B"/>
    <w:rsid w:val="00D3542B"/>
    <w:rsid w:val="00D3584F"/>
    <w:rsid w:val="00D35D52"/>
    <w:rsid w:val="00D35DD7"/>
    <w:rsid w:val="00D35E2A"/>
    <w:rsid w:val="00D3630F"/>
    <w:rsid w:val="00D365A7"/>
    <w:rsid w:val="00D365EA"/>
    <w:rsid w:val="00D3664A"/>
    <w:rsid w:val="00D36868"/>
    <w:rsid w:val="00D36A4F"/>
    <w:rsid w:val="00D37022"/>
    <w:rsid w:val="00D373A7"/>
    <w:rsid w:val="00D3744B"/>
    <w:rsid w:val="00D376B7"/>
    <w:rsid w:val="00D377A5"/>
    <w:rsid w:val="00D3789C"/>
    <w:rsid w:val="00D37AC2"/>
    <w:rsid w:val="00D37B0B"/>
    <w:rsid w:val="00D37CD7"/>
    <w:rsid w:val="00D37E82"/>
    <w:rsid w:val="00D37FF4"/>
    <w:rsid w:val="00D400D2"/>
    <w:rsid w:val="00D4018B"/>
    <w:rsid w:val="00D4036D"/>
    <w:rsid w:val="00D403C0"/>
    <w:rsid w:val="00D404D9"/>
    <w:rsid w:val="00D4059C"/>
    <w:rsid w:val="00D405CA"/>
    <w:rsid w:val="00D40689"/>
    <w:rsid w:val="00D409B0"/>
    <w:rsid w:val="00D409E3"/>
    <w:rsid w:val="00D40CAA"/>
    <w:rsid w:val="00D40E4D"/>
    <w:rsid w:val="00D40F23"/>
    <w:rsid w:val="00D40FDC"/>
    <w:rsid w:val="00D4106F"/>
    <w:rsid w:val="00D412C3"/>
    <w:rsid w:val="00D4139B"/>
    <w:rsid w:val="00D4143F"/>
    <w:rsid w:val="00D41975"/>
    <w:rsid w:val="00D41A40"/>
    <w:rsid w:val="00D41D83"/>
    <w:rsid w:val="00D41ED7"/>
    <w:rsid w:val="00D41EE6"/>
    <w:rsid w:val="00D4241E"/>
    <w:rsid w:val="00D425F5"/>
    <w:rsid w:val="00D4262E"/>
    <w:rsid w:val="00D4271D"/>
    <w:rsid w:val="00D429DA"/>
    <w:rsid w:val="00D42B3C"/>
    <w:rsid w:val="00D42B8C"/>
    <w:rsid w:val="00D42D4C"/>
    <w:rsid w:val="00D42FCE"/>
    <w:rsid w:val="00D431E0"/>
    <w:rsid w:val="00D431E9"/>
    <w:rsid w:val="00D433EE"/>
    <w:rsid w:val="00D43413"/>
    <w:rsid w:val="00D43506"/>
    <w:rsid w:val="00D436A6"/>
    <w:rsid w:val="00D4381E"/>
    <w:rsid w:val="00D439DE"/>
    <w:rsid w:val="00D43E4E"/>
    <w:rsid w:val="00D44158"/>
    <w:rsid w:val="00D4443F"/>
    <w:rsid w:val="00D447DB"/>
    <w:rsid w:val="00D44829"/>
    <w:rsid w:val="00D4483E"/>
    <w:rsid w:val="00D44902"/>
    <w:rsid w:val="00D44931"/>
    <w:rsid w:val="00D44C33"/>
    <w:rsid w:val="00D44F19"/>
    <w:rsid w:val="00D45158"/>
    <w:rsid w:val="00D453C7"/>
    <w:rsid w:val="00D454C9"/>
    <w:rsid w:val="00D455F1"/>
    <w:rsid w:val="00D456B2"/>
    <w:rsid w:val="00D4589F"/>
    <w:rsid w:val="00D45EE6"/>
    <w:rsid w:val="00D46153"/>
    <w:rsid w:val="00D465B1"/>
    <w:rsid w:val="00D467D5"/>
    <w:rsid w:val="00D468BF"/>
    <w:rsid w:val="00D46F6B"/>
    <w:rsid w:val="00D470A1"/>
    <w:rsid w:val="00D4720B"/>
    <w:rsid w:val="00D47366"/>
    <w:rsid w:val="00D47529"/>
    <w:rsid w:val="00D4769E"/>
    <w:rsid w:val="00D476D1"/>
    <w:rsid w:val="00D47741"/>
    <w:rsid w:val="00D47C2D"/>
    <w:rsid w:val="00D47E6C"/>
    <w:rsid w:val="00D47FFE"/>
    <w:rsid w:val="00D50DC9"/>
    <w:rsid w:val="00D50DDC"/>
    <w:rsid w:val="00D5109A"/>
    <w:rsid w:val="00D5154C"/>
    <w:rsid w:val="00D517D3"/>
    <w:rsid w:val="00D51826"/>
    <w:rsid w:val="00D51B19"/>
    <w:rsid w:val="00D51EEB"/>
    <w:rsid w:val="00D51FAD"/>
    <w:rsid w:val="00D52011"/>
    <w:rsid w:val="00D523A9"/>
    <w:rsid w:val="00D524CE"/>
    <w:rsid w:val="00D52540"/>
    <w:rsid w:val="00D52806"/>
    <w:rsid w:val="00D5290F"/>
    <w:rsid w:val="00D52A2C"/>
    <w:rsid w:val="00D52C22"/>
    <w:rsid w:val="00D52CB2"/>
    <w:rsid w:val="00D52D53"/>
    <w:rsid w:val="00D53008"/>
    <w:rsid w:val="00D5314B"/>
    <w:rsid w:val="00D532C1"/>
    <w:rsid w:val="00D5343C"/>
    <w:rsid w:val="00D53604"/>
    <w:rsid w:val="00D5373E"/>
    <w:rsid w:val="00D53995"/>
    <w:rsid w:val="00D53B3D"/>
    <w:rsid w:val="00D53E1E"/>
    <w:rsid w:val="00D5413C"/>
    <w:rsid w:val="00D542FC"/>
    <w:rsid w:val="00D54565"/>
    <w:rsid w:val="00D5476D"/>
    <w:rsid w:val="00D547C8"/>
    <w:rsid w:val="00D547CA"/>
    <w:rsid w:val="00D547FA"/>
    <w:rsid w:val="00D54B64"/>
    <w:rsid w:val="00D54E67"/>
    <w:rsid w:val="00D5509C"/>
    <w:rsid w:val="00D5517D"/>
    <w:rsid w:val="00D55217"/>
    <w:rsid w:val="00D55370"/>
    <w:rsid w:val="00D553A3"/>
    <w:rsid w:val="00D5565E"/>
    <w:rsid w:val="00D55694"/>
    <w:rsid w:val="00D5578F"/>
    <w:rsid w:val="00D557EE"/>
    <w:rsid w:val="00D5585C"/>
    <w:rsid w:val="00D55B8E"/>
    <w:rsid w:val="00D55DF3"/>
    <w:rsid w:val="00D5619B"/>
    <w:rsid w:val="00D5653C"/>
    <w:rsid w:val="00D5667B"/>
    <w:rsid w:val="00D566DB"/>
    <w:rsid w:val="00D56748"/>
    <w:rsid w:val="00D56791"/>
    <w:rsid w:val="00D5689B"/>
    <w:rsid w:val="00D56AAF"/>
    <w:rsid w:val="00D56B83"/>
    <w:rsid w:val="00D56EA9"/>
    <w:rsid w:val="00D571A1"/>
    <w:rsid w:val="00D571AC"/>
    <w:rsid w:val="00D5740E"/>
    <w:rsid w:val="00D57783"/>
    <w:rsid w:val="00D577DA"/>
    <w:rsid w:val="00D578D4"/>
    <w:rsid w:val="00D57904"/>
    <w:rsid w:val="00D57A68"/>
    <w:rsid w:val="00D57D5D"/>
    <w:rsid w:val="00D57FB2"/>
    <w:rsid w:val="00D6064A"/>
    <w:rsid w:val="00D60756"/>
    <w:rsid w:val="00D60865"/>
    <w:rsid w:val="00D60AA9"/>
    <w:rsid w:val="00D60DF4"/>
    <w:rsid w:val="00D60E44"/>
    <w:rsid w:val="00D60ECC"/>
    <w:rsid w:val="00D60F1E"/>
    <w:rsid w:val="00D60F3E"/>
    <w:rsid w:val="00D6101F"/>
    <w:rsid w:val="00D61280"/>
    <w:rsid w:val="00D6158B"/>
    <w:rsid w:val="00D6184F"/>
    <w:rsid w:val="00D61A81"/>
    <w:rsid w:val="00D61C39"/>
    <w:rsid w:val="00D61CD4"/>
    <w:rsid w:val="00D61D2E"/>
    <w:rsid w:val="00D62141"/>
    <w:rsid w:val="00D6219B"/>
    <w:rsid w:val="00D6260C"/>
    <w:rsid w:val="00D6288F"/>
    <w:rsid w:val="00D6292C"/>
    <w:rsid w:val="00D629E5"/>
    <w:rsid w:val="00D63187"/>
    <w:rsid w:val="00D6332F"/>
    <w:rsid w:val="00D63509"/>
    <w:rsid w:val="00D639D2"/>
    <w:rsid w:val="00D63B4A"/>
    <w:rsid w:val="00D640DA"/>
    <w:rsid w:val="00D64347"/>
    <w:rsid w:val="00D6453A"/>
    <w:rsid w:val="00D646AD"/>
    <w:rsid w:val="00D648F7"/>
    <w:rsid w:val="00D64A01"/>
    <w:rsid w:val="00D64A6F"/>
    <w:rsid w:val="00D64D6F"/>
    <w:rsid w:val="00D64F68"/>
    <w:rsid w:val="00D65019"/>
    <w:rsid w:val="00D651F2"/>
    <w:rsid w:val="00D65354"/>
    <w:rsid w:val="00D6538A"/>
    <w:rsid w:val="00D658B9"/>
    <w:rsid w:val="00D6592C"/>
    <w:rsid w:val="00D65A22"/>
    <w:rsid w:val="00D65D25"/>
    <w:rsid w:val="00D6620C"/>
    <w:rsid w:val="00D66263"/>
    <w:rsid w:val="00D662B6"/>
    <w:rsid w:val="00D6630B"/>
    <w:rsid w:val="00D66797"/>
    <w:rsid w:val="00D668C8"/>
    <w:rsid w:val="00D66AD4"/>
    <w:rsid w:val="00D66C80"/>
    <w:rsid w:val="00D66D07"/>
    <w:rsid w:val="00D67006"/>
    <w:rsid w:val="00D67222"/>
    <w:rsid w:val="00D67267"/>
    <w:rsid w:val="00D673AB"/>
    <w:rsid w:val="00D67411"/>
    <w:rsid w:val="00D67435"/>
    <w:rsid w:val="00D674EC"/>
    <w:rsid w:val="00D67A9D"/>
    <w:rsid w:val="00D67E4F"/>
    <w:rsid w:val="00D70010"/>
    <w:rsid w:val="00D700CE"/>
    <w:rsid w:val="00D70238"/>
    <w:rsid w:val="00D70287"/>
    <w:rsid w:val="00D70301"/>
    <w:rsid w:val="00D70331"/>
    <w:rsid w:val="00D70424"/>
    <w:rsid w:val="00D70581"/>
    <w:rsid w:val="00D706BB"/>
    <w:rsid w:val="00D708D2"/>
    <w:rsid w:val="00D70B21"/>
    <w:rsid w:val="00D70C98"/>
    <w:rsid w:val="00D70CA8"/>
    <w:rsid w:val="00D70CE9"/>
    <w:rsid w:val="00D70DA9"/>
    <w:rsid w:val="00D70F14"/>
    <w:rsid w:val="00D70FF1"/>
    <w:rsid w:val="00D71133"/>
    <w:rsid w:val="00D712C4"/>
    <w:rsid w:val="00D715ED"/>
    <w:rsid w:val="00D7161C"/>
    <w:rsid w:val="00D71738"/>
    <w:rsid w:val="00D717F1"/>
    <w:rsid w:val="00D719E9"/>
    <w:rsid w:val="00D71B04"/>
    <w:rsid w:val="00D71C01"/>
    <w:rsid w:val="00D720C2"/>
    <w:rsid w:val="00D721EA"/>
    <w:rsid w:val="00D72734"/>
    <w:rsid w:val="00D7274F"/>
    <w:rsid w:val="00D72A28"/>
    <w:rsid w:val="00D72B15"/>
    <w:rsid w:val="00D72FF7"/>
    <w:rsid w:val="00D732F8"/>
    <w:rsid w:val="00D73306"/>
    <w:rsid w:val="00D73355"/>
    <w:rsid w:val="00D73398"/>
    <w:rsid w:val="00D7368F"/>
    <w:rsid w:val="00D739C8"/>
    <w:rsid w:val="00D73D13"/>
    <w:rsid w:val="00D73D60"/>
    <w:rsid w:val="00D73F7E"/>
    <w:rsid w:val="00D74103"/>
    <w:rsid w:val="00D7414D"/>
    <w:rsid w:val="00D74177"/>
    <w:rsid w:val="00D74178"/>
    <w:rsid w:val="00D74201"/>
    <w:rsid w:val="00D74267"/>
    <w:rsid w:val="00D74323"/>
    <w:rsid w:val="00D7488C"/>
    <w:rsid w:val="00D748CF"/>
    <w:rsid w:val="00D749C7"/>
    <w:rsid w:val="00D74DA6"/>
    <w:rsid w:val="00D74EAF"/>
    <w:rsid w:val="00D75018"/>
    <w:rsid w:val="00D7544D"/>
    <w:rsid w:val="00D7554D"/>
    <w:rsid w:val="00D75633"/>
    <w:rsid w:val="00D758FE"/>
    <w:rsid w:val="00D75904"/>
    <w:rsid w:val="00D75926"/>
    <w:rsid w:val="00D75A25"/>
    <w:rsid w:val="00D75CD8"/>
    <w:rsid w:val="00D75E23"/>
    <w:rsid w:val="00D75FD4"/>
    <w:rsid w:val="00D76486"/>
    <w:rsid w:val="00D76671"/>
    <w:rsid w:val="00D76B40"/>
    <w:rsid w:val="00D76C6B"/>
    <w:rsid w:val="00D76D8D"/>
    <w:rsid w:val="00D76DA7"/>
    <w:rsid w:val="00D7719B"/>
    <w:rsid w:val="00D77452"/>
    <w:rsid w:val="00D775AD"/>
    <w:rsid w:val="00D77776"/>
    <w:rsid w:val="00D7784C"/>
    <w:rsid w:val="00D77869"/>
    <w:rsid w:val="00D77C12"/>
    <w:rsid w:val="00D77D7E"/>
    <w:rsid w:val="00D77E69"/>
    <w:rsid w:val="00D77FBF"/>
    <w:rsid w:val="00D802E1"/>
    <w:rsid w:val="00D80881"/>
    <w:rsid w:val="00D809DB"/>
    <w:rsid w:val="00D80AFA"/>
    <w:rsid w:val="00D80E9A"/>
    <w:rsid w:val="00D8110A"/>
    <w:rsid w:val="00D81323"/>
    <w:rsid w:val="00D816D4"/>
    <w:rsid w:val="00D816E2"/>
    <w:rsid w:val="00D8178F"/>
    <w:rsid w:val="00D81852"/>
    <w:rsid w:val="00D81B70"/>
    <w:rsid w:val="00D81D1B"/>
    <w:rsid w:val="00D81D3A"/>
    <w:rsid w:val="00D81D4A"/>
    <w:rsid w:val="00D81DB8"/>
    <w:rsid w:val="00D81DFB"/>
    <w:rsid w:val="00D81E15"/>
    <w:rsid w:val="00D81EB2"/>
    <w:rsid w:val="00D82209"/>
    <w:rsid w:val="00D8222D"/>
    <w:rsid w:val="00D82282"/>
    <w:rsid w:val="00D82404"/>
    <w:rsid w:val="00D8273B"/>
    <w:rsid w:val="00D82806"/>
    <w:rsid w:val="00D82E5D"/>
    <w:rsid w:val="00D83240"/>
    <w:rsid w:val="00D8354B"/>
    <w:rsid w:val="00D83652"/>
    <w:rsid w:val="00D83A97"/>
    <w:rsid w:val="00D83AD2"/>
    <w:rsid w:val="00D83F9B"/>
    <w:rsid w:val="00D83FA3"/>
    <w:rsid w:val="00D84200"/>
    <w:rsid w:val="00D84245"/>
    <w:rsid w:val="00D84324"/>
    <w:rsid w:val="00D8462E"/>
    <w:rsid w:val="00D848EB"/>
    <w:rsid w:val="00D84900"/>
    <w:rsid w:val="00D84976"/>
    <w:rsid w:val="00D84983"/>
    <w:rsid w:val="00D84A60"/>
    <w:rsid w:val="00D84AD4"/>
    <w:rsid w:val="00D852B3"/>
    <w:rsid w:val="00D85332"/>
    <w:rsid w:val="00D85562"/>
    <w:rsid w:val="00D85618"/>
    <w:rsid w:val="00D85728"/>
    <w:rsid w:val="00D8599B"/>
    <w:rsid w:val="00D85A70"/>
    <w:rsid w:val="00D85E76"/>
    <w:rsid w:val="00D860A3"/>
    <w:rsid w:val="00D8611C"/>
    <w:rsid w:val="00D861AE"/>
    <w:rsid w:val="00D86482"/>
    <w:rsid w:val="00D8662E"/>
    <w:rsid w:val="00D867E5"/>
    <w:rsid w:val="00D86A6B"/>
    <w:rsid w:val="00D86CF1"/>
    <w:rsid w:val="00D86CFF"/>
    <w:rsid w:val="00D86D7E"/>
    <w:rsid w:val="00D86F22"/>
    <w:rsid w:val="00D86F69"/>
    <w:rsid w:val="00D8701A"/>
    <w:rsid w:val="00D872CA"/>
    <w:rsid w:val="00D872F2"/>
    <w:rsid w:val="00D87442"/>
    <w:rsid w:val="00D879B0"/>
    <w:rsid w:val="00D87BDF"/>
    <w:rsid w:val="00D87D89"/>
    <w:rsid w:val="00D87EBB"/>
    <w:rsid w:val="00D87F74"/>
    <w:rsid w:val="00D90016"/>
    <w:rsid w:val="00D9004D"/>
    <w:rsid w:val="00D90073"/>
    <w:rsid w:val="00D900B1"/>
    <w:rsid w:val="00D901A8"/>
    <w:rsid w:val="00D90339"/>
    <w:rsid w:val="00D90356"/>
    <w:rsid w:val="00D903C6"/>
    <w:rsid w:val="00D90597"/>
    <w:rsid w:val="00D90AF3"/>
    <w:rsid w:val="00D90CF5"/>
    <w:rsid w:val="00D90D67"/>
    <w:rsid w:val="00D90DE7"/>
    <w:rsid w:val="00D90E6E"/>
    <w:rsid w:val="00D91188"/>
    <w:rsid w:val="00D9138C"/>
    <w:rsid w:val="00D91571"/>
    <w:rsid w:val="00D9160A"/>
    <w:rsid w:val="00D917FE"/>
    <w:rsid w:val="00D91990"/>
    <w:rsid w:val="00D919DC"/>
    <w:rsid w:val="00D91AC2"/>
    <w:rsid w:val="00D91D7E"/>
    <w:rsid w:val="00D91EA8"/>
    <w:rsid w:val="00D91F28"/>
    <w:rsid w:val="00D92012"/>
    <w:rsid w:val="00D92051"/>
    <w:rsid w:val="00D920B4"/>
    <w:rsid w:val="00D921CF"/>
    <w:rsid w:val="00D921E2"/>
    <w:rsid w:val="00D923DF"/>
    <w:rsid w:val="00D924BD"/>
    <w:rsid w:val="00D924CB"/>
    <w:rsid w:val="00D92989"/>
    <w:rsid w:val="00D92D2B"/>
    <w:rsid w:val="00D92D5B"/>
    <w:rsid w:val="00D93299"/>
    <w:rsid w:val="00D9352E"/>
    <w:rsid w:val="00D9377C"/>
    <w:rsid w:val="00D93856"/>
    <w:rsid w:val="00D938BA"/>
    <w:rsid w:val="00D939A4"/>
    <w:rsid w:val="00D93A83"/>
    <w:rsid w:val="00D93B66"/>
    <w:rsid w:val="00D93F96"/>
    <w:rsid w:val="00D94541"/>
    <w:rsid w:val="00D9493D"/>
    <w:rsid w:val="00D94BEF"/>
    <w:rsid w:val="00D94E26"/>
    <w:rsid w:val="00D950CA"/>
    <w:rsid w:val="00D955AC"/>
    <w:rsid w:val="00D9562E"/>
    <w:rsid w:val="00D95640"/>
    <w:rsid w:val="00D956CF"/>
    <w:rsid w:val="00D9577F"/>
    <w:rsid w:val="00D959C4"/>
    <w:rsid w:val="00D959D3"/>
    <w:rsid w:val="00D95AAE"/>
    <w:rsid w:val="00D95ADD"/>
    <w:rsid w:val="00D95CA3"/>
    <w:rsid w:val="00D95EDC"/>
    <w:rsid w:val="00D96026"/>
    <w:rsid w:val="00D960A4"/>
    <w:rsid w:val="00D960FF"/>
    <w:rsid w:val="00D9610C"/>
    <w:rsid w:val="00D9620F"/>
    <w:rsid w:val="00D96577"/>
    <w:rsid w:val="00D9657D"/>
    <w:rsid w:val="00D96915"/>
    <w:rsid w:val="00D96AC1"/>
    <w:rsid w:val="00D96B35"/>
    <w:rsid w:val="00D971C8"/>
    <w:rsid w:val="00D972B8"/>
    <w:rsid w:val="00D97520"/>
    <w:rsid w:val="00D97598"/>
    <w:rsid w:val="00D979C5"/>
    <w:rsid w:val="00D97BE1"/>
    <w:rsid w:val="00DA0038"/>
    <w:rsid w:val="00DA0116"/>
    <w:rsid w:val="00DA015F"/>
    <w:rsid w:val="00DA0554"/>
    <w:rsid w:val="00DA05B7"/>
    <w:rsid w:val="00DA05C8"/>
    <w:rsid w:val="00DA0934"/>
    <w:rsid w:val="00DA0990"/>
    <w:rsid w:val="00DA0D66"/>
    <w:rsid w:val="00DA0DB5"/>
    <w:rsid w:val="00DA0F79"/>
    <w:rsid w:val="00DA1244"/>
    <w:rsid w:val="00DA148F"/>
    <w:rsid w:val="00DA18B3"/>
    <w:rsid w:val="00DA18C5"/>
    <w:rsid w:val="00DA1938"/>
    <w:rsid w:val="00DA1C57"/>
    <w:rsid w:val="00DA1E0A"/>
    <w:rsid w:val="00DA1ED9"/>
    <w:rsid w:val="00DA238A"/>
    <w:rsid w:val="00DA24E1"/>
    <w:rsid w:val="00DA261B"/>
    <w:rsid w:val="00DA2663"/>
    <w:rsid w:val="00DA2759"/>
    <w:rsid w:val="00DA2937"/>
    <w:rsid w:val="00DA2E05"/>
    <w:rsid w:val="00DA2F95"/>
    <w:rsid w:val="00DA30F2"/>
    <w:rsid w:val="00DA3983"/>
    <w:rsid w:val="00DA3B1F"/>
    <w:rsid w:val="00DA3B2C"/>
    <w:rsid w:val="00DA3BBC"/>
    <w:rsid w:val="00DA3F0B"/>
    <w:rsid w:val="00DA3FFF"/>
    <w:rsid w:val="00DA40E4"/>
    <w:rsid w:val="00DA4101"/>
    <w:rsid w:val="00DA4214"/>
    <w:rsid w:val="00DA4227"/>
    <w:rsid w:val="00DA427A"/>
    <w:rsid w:val="00DA460D"/>
    <w:rsid w:val="00DA46C3"/>
    <w:rsid w:val="00DA4768"/>
    <w:rsid w:val="00DA48A2"/>
    <w:rsid w:val="00DA48F0"/>
    <w:rsid w:val="00DA4B56"/>
    <w:rsid w:val="00DA4E15"/>
    <w:rsid w:val="00DA50A8"/>
    <w:rsid w:val="00DA5910"/>
    <w:rsid w:val="00DA5A70"/>
    <w:rsid w:val="00DA5AE4"/>
    <w:rsid w:val="00DA5C41"/>
    <w:rsid w:val="00DA5D39"/>
    <w:rsid w:val="00DA5E3B"/>
    <w:rsid w:val="00DA5EE1"/>
    <w:rsid w:val="00DA6504"/>
    <w:rsid w:val="00DA6596"/>
    <w:rsid w:val="00DA6884"/>
    <w:rsid w:val="00DA68D6"/>
    <w:rsid w:val="00DA6C51"/>
    <w:rsid w:val="00DA753A"/>
    <w:rsid w:val="00DA766C"/>
    <w:rsid w:val="00DA77CB"/>
    <w:rsid w:val="00DA7A18"/>
    <w:rsid w:val="00DA7AAA"/>
    <w:rsid w:val="00DA7C54"/>
    <w:rsid w:val="00DA7EBB"/>
    <w:rsid w:val="00DB0064"/>
    <w:rsid w:val="00DB034A"/>
    <w:rsid w:val="00DB04BD"/>
    <w:rsid w:val="00DB06CC"/>
    <w:rsid w:val="00DB0799"/>
    <w:rsid w:val="00DB09C9"/>
    <w:rsid w:val="00DB1084"/>
    <w:rsid w:val="00DB1495"/>
    <w:rsid w:val="00DB1A49"/>
    <w:rsid w:val="00DB1AB2"/>
    <w:rsid w:val="00DB1AB4"/>
    <w:rsid w:val="00DB1ABD"/>
    <w:rsid w:val="00DB1B54"/>
    <w:rsid w:val="00DB1FA3"/>
    <w:rsid w:val="00DB2172"/>
    <w:rsid w:val="00DB2469"/>
    <w:rsid w:val="00DB24D1"/>
    <w:rsid w:val="00DB25AA"/>
    <w:rsid w:val="00DB28A1"/>
    <w:rsid w:val="00DB28BB"/>
    <w:rsid w:val="00DB3113"/>
    <w:rsid w:val="00DB3265"/>
    <w:rsid w:val="00DB355B"/>
    <w:rsid w:val="00DB36E9"/>
    <w:rsid w:val="00DB374D"/>
    <w:rsid w:val="00DB37C9"/>
    <w:rsid w:val="00DB3AEA"/>
    <w:rsid w:val="00DB3C30"/>
    <w:rsid w:val="00DB3C5E"/>
    <w:rsid w:val="00DB4460"/>
    <w:rsid w:val="00DB4774"/>
    <w:rsid w:val="00DB48B1"/>
    <w:rsid w:val="00DB4956"/>
    <w:rsid w:val="00DB4B90"/>
    <w:rsid w:val="00DB4FAC"/>
    <w:rsid w:val="00DB502F"/>
    <w:rsid w:val="00DB5490"/>
    <w:rsid w:val="00DB58B8"/>
    <w:rsid w:val="00DB59D6"/>
    <w:rsid w:val="00DB5A3D"/>
    <w:rsid w:val="00DB5BE5"/>
    <w:rsid w:val="00DB5E33"/>
    <w:rsid w:val="00DB6197"/>
    <w:rsid w:val="00DB62D4"/>
    <w:rsid w:val="00DB63D2"/>
    <w:rsid w:val="00DB6549"/>
    <w:rsid w:val="00DB6570"/>
    <w:rsid w:val="00DB659D"/>
    <w:rsid w:val="00DB66BD"/>
    <w:rsid w:val="00DB6A33"/>
    <w:rsid w:val="00DB6DE0"/>
    <w:rsid w:val="00DB6E02"/>
    <w:rsid w:val="00DB6E06"/>
    <w:rsid w:val="00DB6FAA"/>
    <w:rsid w:val="00DB7087"/>
    <w:rsid w:val="00DB70A5"/>
    <w:rsid w:val="00DB7128"/>
    <w:rsid w:val="00DB7332"/>
    <w:rsid w:val="00DB73F0"/>
    <w:rsid w:val="00DB742A"/>
    <w:rsid w:val="00DB743D"/>
    <w:rsid w:val="00DB7701"/>
    <w:rsid w:val="00DB7F72"/>
    <w:rsid w:val="00DC03B5"/>
    <w:rsid w:val="00DC03D7"/>
    <w:rsid w:val="00DC06DB"/>
    <w:rsid w:val="00DC09F2"/>
    <w:rsid w:val="00DC0B2B"/>
    <w:rsid w:val="00DC0BF8"/>
    <w:rsid w:val="00DC0C58"/>
    <w:rsid w:val="00DC1353"/>
    <w:rsid w:val="00DC1488"/>
    <w:rsid w:val="00DC150F"/>
    <w:rsid w:val="00DC1518"/>
    <w:rsid w:val="00DC162F"/>
    <w:rsid w:val="00DC18E0"/>
    <w:rsid w:val="00DC192E"/>
    <w:rsid w:val="00DC1B5F"/>
    <w:rsid w:val="00DC1C22"/>
    <w:rsid w:val="00DC1DDD"/>
    <w:rsid w:val="00DC2056"/>
    <w:rsid w:val="00DC2250"/>
    <w:rsid w:val="00DC263F"/>
    <w:rsid w:val="00DC266A"/>
    <w:rsid w:val="00DC2862"/>
    <w:rsid w:val="00DC29C6"/>
    <w:rsid w:val="00DC3252"/>
    <w:rsid w:val="00DC3280"/>
    <w:rsid w:val="00DC32C9"/>
    <w:rsid w:val="00DC37A0"/>
    <w:rsid w:val="00DC3807"/>
    <w:rsid w:val="00DC3872"/>
    <w:rsid w:val="00DC3949"/>
    <w:rsid w:val="00DC3C89"/>
    <w:rsid w:val="00DC3ED0"/>
    <w:rsid w:val="00DC401C"/>
    <w:rsid w:val="00DC403F"/>
    <w:rsid w:val="00DC406B"/>
    <w:rsid w:val="00DC415F"/>
    <w:rsid w:val="00DC4217"/>
    <w:rsid w:val="00DC4436"/>
    <w:rsid w:val="00DC48D6"/>
    <w:rsid w:val="00DC4B60"/>
    <w:rsid w:val="00DC4C5E"/>
    <w:rsid w:val="00DC4CA5"/>
    <w:rsid w:val="00DC4D8C"/>
    <w:rsid w:val="00DC4E2D"/>
    <w:rsid w:val="00DC4E75"/>
    <w:rsid w:val="00DC50F9"/>
    <w:rsid w:val="00DC5226"/>
    <w:rsid w:val="00DC55A1"/>
    <w:rsid w:val="00DC575C"/>
    <w:rsid w:val="00DC576E"/>
    <w:rsid w:val="00DC586C"/>
    <w:rsid w:val="00DC590F"/>
    <w:rsid w:val="00DC5945"/>
    <w:rsid w:val="00DC5AE6"/>
    <w:rsid w:val="00DC5D69"/>
    <w:rsid w:val="00DC5E18"/>
    <w:rsid w:val="00DC5F62"/>
    <w:rsid w:val="00DC611D"/>
    <w:rsid w:val="00DC6451"/>
    <w:rsid w:val="00DC654C"/>
    <w:rsid w:val="00DC6594"/>
    <w:rsid w:val="00DC67D6"/>
    <w:rsid w:val="00DC6AA9"/>
    <w:rsid w:val="00DC7351"/>
    <w:rsid w:val="00DC73A0"/>
    <w:rsid w:val="00DC74C6"/>
    <w:rsid w:val="00DC7514"/>
    <w:rsid w:val="00DC7539"/>
    <w:rsid w:val="00DC79F1"/>
    <w:rsid w:val="00DC7ACC"/>
    <w:rsid w:val="00DC7ADF"/>
    <w:rsid w:val="00DC7BA4"/>
    <w:rsid w:val="00DC7CB6"/>
    <w:rsid w:val="00DC7E42"/>
    <w:rsid w:val="00DD036D"/>
    <w:rsid w:val="00DD0842"/>
    <w:rsid w:val="00DD0881"/>
    <w:rsid w:val="00DD0935"/>
    <w:rsid w:val="00DD0CC2"/>
    <w:rsid w:val="00DD0CFC"/>
    <w:rsid w:val="00DD10BA"/>
    <w:rsid w:val="00DD1188"/>
    <w:rsid w:val="00DD119D"/>
    <w:rsid w:val="00DD126D"/>
    <w:rsid w:val="00DD1416"/>
    <w:rsid w:val="00DD17BC"/>
    <w:rsid w:val="00DD185A"/>
    <w:rsid w:val="00DD1AD4"/>
    <w:rsid w:val="00DD1B1E"/>
    <w:rsid w:val="00DD1CEE"/>
    <w:rsid w:val="00DD1E30"/>
    <w:rsid w:val="00DD1E82"/>
    <w:rsid w:val="00DD1E92"/>
    <w:rsid w:val="00DD20E7"/>
    <w:rsid w:val="00DD216F"/>
    <w:rsid w:val="00DD219A"/>
    <w:rsid w:val="00DD22B5"/>
    <w:rsid w:val="00DD233A"/>
    <w:rsid w:val="00DD235A"/>
    <w:rsid w:val="00DD2512"/>
    <w:rsid w:val="00DD25A4"/>
    <w:rsid w:val="00DD2632"/>
    <w:rsid w:val="00DD28B6"/>
    <w:rsid w:val="00DD2AAE"/>
    <w:rsid w:val="00DD2F1F"/>
    <w:rsid w:val="00DD3093"/>
    <w:rsid w:val="00DD30B5"/>
    <w:rsid w:val="00DD30E8"/>
    <w:rsid w:val="00DD3382"/>
    <w:rsid w:val="00DD3396"/>
    <w:rsid w:val="00DD35B5"/>
    <w:rsid w:val="00DD371E"/>
    <w:rsid w:val="00DD390D"/>
    <w:rsid w:val="00DD3B5B"/>
    <w:rsid w:val="00DD3D99"/>
    <w:rsid w:val="00DD3DBC"/>
    <w:rsid w:val="00DD3E1C"/>
    <w:rsid w:val="00DD4049"/>
    <w:rsid w:val="00DD4190"/>
    <w:rsid w:val="00DD443D"/>
    <w:rsid w:val="00DD47D9"/>
    <w:rsid w:val="00DD494E"/>
    <w:rsid w:val="00DD4B63"/>
    <w:rsid w:val="00DD4C0F"/>
    <w:rsid w:val="00DD4E88"/>
    <w:rsid w:val="00DD5191"/>
    <w:rsid w:val="00DD52F4"/>
    <w:rsid w:val="00DD5F64"/>
    <w:rsid w:val="00DD6213"/>
    <w:rsid w:val="00DD6551"/>
    <w:rsid w:val="00DD65B0"/>
    <w:rsid w:val="00DD6673"/>
    <w:rsid w:val="00DD6A32"/>
    <w:rsid w:val="00DD6B64"/>
    <w:rsid w:val="00DD6C59"/>
    <w:rsid w:val="00DD7378"/>
    <w:rsid w:val="00DD73F9"/>
    <w:rsid w:val="00DD743B"/>
    <w:rsid w:val="00DD744A"/>
    <w:rsid w:val="00DD7548"/>
    <w:rsid w:val="00DD761E"/>
    <w:rsid w:val="00DD763D"/>
    <w:rsid w:val="00DD7821"/>
    <w:rsid w:val="00DD791A"/>
    <w:rsid w:val="00DD7C95"/>
    <w:rsid w:val="00DD7F09"/>
    <w:rsid w:val="00DE0140"/>
    <w:rsid w:val="00DE0295"/>
    <w:rsid w:val="00DE0304"/>
    <w:rsid w:val="00DE0412"/>
    <w:rsid w:val="00DE0614"/>
    <w:rsid w:val="00DE0720"/>
    <w:rsid w:val="00DE07FA"/>
    <w:rsid w:val="00DE08B1"/>
    <w:rsid w:val="00DE08D8"/>
    <w:rsid w:val="00DE0936"/>
    <w:rsid w:val="00DE0D15"/>
    <w:rsid w:val="00DE0F0A"/>
    <w:rsid w:val="00DE1172"/>
    <w:rsid w:val="00DE1463"/>
    <w:rsid w:val="00DE1549"/>
    <w:rsid w:val="00DE1697"/>
    <w:rsid w:val="00DE1792"/>
    <w:rsid w:val="00DE184D"/>
    <w:rsid w:val="00DE1B17"/>
    <w:rsid w:val="00DE1BAC"/>
    <w:rsid w:val="00DE1C18"/>
    <w:rsid w:val="00DE1FEF"/>
    <w:rsid w:val="00DE214B"/>
    <w:rsid w:val="00DE23AC"/>
    <w:rsid w:val="00DE2403"/>
    <w:rsid w:val="00DE2457"/>
    <w:rsid w:val="00DE2559"/>
    <w:rsid w:val="00DE29AA"/>
    <w:rsid w:val="00DE2A48"/>
    <w:rsid w:val="00DE316E"/>
    <w:rsid w:val="00DE31A1"/>
    <w:rsid w:val="00DE35D0"/>
    <w:rsid w:val="00DE3726"/>
    <w:rsid w:val="00DE3838"/>
    <w:rsid w:val="00DE397F"/>
    <w:rsid w:val="00DE39B0"/>
    <w:rsid w:val="00DE3B86"/>
    <w:rsid w:val="00DE3E86"/>
    <w:rsid w:val="00DE41EE"/>
    <w:rsid w:val="00DE4228"/>
    <w:rsid w:val="00DE422E"/>
    <w:rsid w:val="00DE45AB"/>
    <w:rsid w:val="00DE4753"/>
    <w:rsid w:val="00DE4B13"/>
    <w:rsid w:val="00DE4FC1"/>
    <w:rsid w:val="00DE5090"/>
    <w:rsid w:val="00DE536F"/>
    <w:rsid w:val="00DE5AD7"/>
    <w:rsid w:val="00DE5AD9"/>
    <w:rsid w:val="00DE5BD6"/>
    <w:rsid w:val="00DE5E9A"/>
    <w:rsid w:val="00DE5F1B"/>
    <w:rsid w:val="00DE600B"/>
    <w:rsid w:val="00DE6184"/>
    <w:rsid w:val="00DE65FA"/>
    <w:rsid w:val="00DE67B6"/>
    <w:rsid w:val="00DE6D05"/>
    <w:rsid w:val="00DE74E7"/>
    <w:rsid w:val="00DE7599"/>
    <w:rsid w:val="00DE7613"/>
    <w:rsid w:val="00DE799A"/>
    <w:rsid w:val="00DE79E2"/>
    <w:rsid w:val="00DE7AB9"/>
    <w:rsid w:val="00DE7C6A"/>
    <w:rsid w:val="00DF0655"/>
    <w:rsid w:val="00DF0C55"/>
    <w:rsid w:val="00DF0D44"/>
    <w:rsid w:val="00DF123A"/>
    <w:rsid w:val="00DF12DC"/>
    <w:rsid w:val="00DF1399"/>
    <w:rsid w:val="00DF190D"/>
    <w:rsid w:val="00DF19C5"/>
    <w:rsid w:val="00DF1C7B"/>
    <w:rsid w:val="00DF1E1D"/>
    <w:rsid w:val="00DF1FC6"/>
    <w:rsid w:val="00DF23DE"/>
    <w:rsid w:val="00DF24E5"/>
    <w:rsid w:val="00DF26A6"/>
    <w:rsid w:val="00DF29C2"/>
    <w:rsid w:val="00DF2A21"/>
    <w:rsid w:val="00DF2DBA"/>
    <w:rsid w:val="00DF31FC"/>
    <w:rsid w:val="00DF36F5"/>
    <w:rsid w:val="00DF393D"/>
    <w:rsid w:val="00DF3C04"/>
    <w:rsid w:val="00DF3C5A"/>
    <w:rsid w:val="00DF3C81"/>
    <w:rsid w:val="00DF44EE"/>
    <w:rsid w:val="00DF48D5"/>
    <w:rsid w:val="00DF4CE2"/>
    <w:rsid w:val="00DF4E6B"/>
    <w:rsid w:val="00DF4F4F"/>
    <w:rsid w:val="00DF4F6D"/>
    <w:rsid w:val="00DF5068"/>
    <w:rsid w:val="00DF52FE"/>
    <w:rsid w:val="00DF5486"/>
    <w:rsid w:val="00DF5749"/>
    <w:rsid w:val="00DF59B8"/>
    <w:rsid w:val="00DF5E38"/>
    <w:rsid w:val="00DF5E3C"/>
    <w:rsid w:val="00DF615B"/>
    <w:rsid w:val="00DF6471"/>
    <w:rsid w:val="00DF6560"/>
    <w:rsid w:val="00DF670B"/>
    <w:rsid w:val="00DF675C"/>
    <w:rsid w:val="00DF6975"/>
    <w:rsid w:val="00DF69D7"/>
    <w:rsid w:val="00DF6B33"/>
    <w:rsid w:val="00DF6C80"/>
    <w:rsid w:val="00DF6E8F"/>
    <w:rsid w:val="00DF71B5"/>
    <w:rsid w:val="00DF7200"/>
    <w:rsid w:val="00DF7254"/>
    <w:rsid w:val="00DF72C7"/>
    <w:rsid w:val="00DF7301"/>
    <w:rsid w:val="00DF7392"/>
    <w:rsid w:val="00DF75BD"/>
    <w:rsid w:val="00DF7668"/>
    <w:rsid w:val="00DF7A38"/>
    <w:rsid w:val="00DF7E54"/>
    <w:rsid w:val="00DF7EB9"/>
    <w:rsid w:val="00E00254"/>
    <w:rsid w:val="00E003F5"/>
    <w:rsid w:val="00E0073B"/>
    <w:rsid w:val="00E007CE"/>
    <w:rsid w:val="00E00A06"/>
    <w:rsid w:val="00E00A68"/>
    <w:rsid w:val="00E00D25"/>
    <w:rsid w:val="00E00E76"/>
    <w:rsid w:val="00E0106A"/>
    <w:rsid w:val="00E01353"/>
    <w:rsid w:val="00E017B4"/>
    <w:rsid w:val="00E01D5D"/>
    <w:rsid w:val="00E01FEC"/>
    <w:rsid w:val="00E020DB"/>
    <w:rsid w:val="00E020DE"/>
    <w:rsid w:val="00E022AC"/>
    <w:rsid w:val="00E023F6"/>
    <w:rsid w:val="00E02609"/>
    <w:rsid w:val="00E02B31"/>
    <w:rsid w:val="00E02BAC"/>
    <w:rsid w:val="00E02BD5"/>
    <w:rsid w:val="00E02C42"/>
    <w:rsid w:val="00E03482"/>
    <w:rsid w:val="00E034AE"/>
    <w:rsid w:val="00E03647"/>
    <w:rsid w:val="00E0365B"/>
    <w:rsid w:val="00E03735"/>
    <w:rsid w:val="00E0383F"/>
    <w:rsid w:val="00E03925"/>
    <w:rsid w:val="00E039FD"/>
    <w:rsid w:val="00E03C15"/>
    <w:rsid w:val="00E03CD1"/>
    <w:rsid w:val="00E042E1"/>
    <w:rsid w:val="00E04311"/>
    <w:rsid w:val="00E0431D"/>
    <w:rsid w:val="00E044B5"/>
    <w:rsid w:val="00E0457A"/>
    <w:rsid w:val="00E04761"/>
    <w:rsid w:val="00E047D9"/>
    <w:rsid w:val="00E04A6D"/>
    <w:rsid w:val="00E05272"/>
    <w:rsid w:val="00E054CE"/>
    <w:rsid w:val="00E05585"/>
    <w:rsid w:val="00E05907"/>
    <w:rsid w:val="00E05AFB"/>
    <w:rsid w:val="00E05D8B"/>
    <w:rsid w:val="00E05EB0"/>
    <w:rsid w:val="00E05EFA"/>
    <w:rsid w:val="00E0617A"/>
    <w:rsid w:val="00E0623F"/>
    <w:rsid w:val="00E06550"/>
    <w:rsid w:val="00E06591"/>
    <w:rsid w:val="00E066F0"/>
    <w:rsid w:val="00E06902"/>
    <w:rsid w:val="00E069B8"/>
    <w:rsid w:val="00E06BAE"/>
    <w:rsid w:val="00E06E1C"/>
    <w:rsid w:val="00E07420"/>
    <w:rsid w:val="00E076AB"/>
    <w:rsid w:val="00E07DE7"/>
    <w:rsid w:val="00E1022E"/>
    <w:rsid w:val="00E1024C"/>
    <w:rsid w:val="00E107E6"/>
    <w:rsid w:val="00E10827"/>
    <w:rsid w:val="00E1098B"/>
    <w:rsid w:val="00E10B0F"/>
    <w:rsid w:val="00E10C0E"/>
    <w:rsid w:val="00E110E3"/>
    <w:rsid w:val="00E1130D"/>
    <w:rsid w:val="00E1140B"/>
    <w:rsid w:val="00E114E7"/>
    <w:rsid w:val="00E11555"/>
    <w:rsid w:val="00E116FD"/>
    <w:rsid w:val="00E1180B"/>
    <w:rsid w:val="00E11A59"/>
    <w:rsid w:val="00E11DAD"/>
    <w:rsid w:val="00E11DE0"/>
    <w:rsid w:val="00E1208E"/>
    <w:rsid w:val="00E124EB"/>
    <w:rsid w:val="00E12503"/>
    <w:rsid w:val="00E125C0"/>
    <w:rsid w:val="00E12714"/>
    <w:rsid w:val="00E12797"/>
    <w:rsid w:val="00E129B9"/>
    <w:rsid w:val="00E12A63"/>
    <w:rsid w:val="00E12D0A"/>
    <w:rsid w:val="00E12D94"/>
    <w:rsid w:val="00E12F82"/>
    <w:rsid w:val="00E133C6"/>
    <w:rsid w:val="00E13466"/>
    <w:rsid w:val="00E13501"/>
    <w:rsid w:val="00E1360E"/>
    <w:rsid w:val="00E13A72"/>
    <w:rsid w:val="00E13BB4"/>
    <w:rsid w:val="00E13DAC"/>
    <w:rsid w:val="00E13EAD"/>
    <w:rsid w:val="00E1408C"/>
    <w:rsid w:val="00E1409D"/>
    <w:rsid w:val="00E1410B"/>
    <w:rsid w:val="00E14126"/>
    <w:rsid w:val="00E14209"/>
    <w:rsid w:val="00E145BD"/>
    <w:rsid w:val="00E14698"/>
    <w:rsid w:val="00E14866"/>
    <w:rsid w:val="00E14A79"/>
    <w:rsid w:val="00E14F6D"/>
    <w:rsid w:val="00E151C5"/>
    <w:rsid w:val="00E154E1"/>
    <w:rsid w:val="00E1550F"/>
    <w:rsid w:val="00E156EA"/>
    <w:rsid w:val="00E15733"/>
    <w:rsid w:val="00E1589D"/>
    <w:rsid w:val="00E15979"/>
    <w:rsid w:val="00E15A8D"/>
    <w:rsid w:val="00E15CB2"/>
    <w:rsid w:val="00E15DC7"/>
    <w:rsid w:val="00E15EF6"/>
    <w:rsid w:val="00E1609B"/>
    <w:rsid w:val="00E163EE"/>
    <w:rsid w:val="00E16408"/>
    <w:rsid w:val="00E1650C"/>
    <w:rsid w:val="00E1692F"/>
    <w:rsid w:val="00E16E35"/>
    <w:rsid w:val="00E172D1"/>
    <w:rsid w:val="00E1743F"/>
    <w:rsid w:val="00E17508"/>
    <w:rsid w:val="00E175D3"/>
    <w:rsid w:val="00E1765A"/>
    <w:rsid w:val="00E1768B"/>
    <w:rsid w:val="00E177DA"/>
    <w:rsid w:val="00E17835"/>
    <w:rsid w:val="00E17B87"/>
    <w:rsid w:val="00E20288"/>
    <w:rsid w:val="00E2038C"/>
    <w:rsid w:val="00E204B1"/>
    <w:rsid w:val="00E204E5"/>
    <w:rsid w:val="00E20535"/>
    <w:rsid w:val="00E20619"/>
    <w:rsid w:val="00E2087B"/>
    <w:rsid w:val="00E20A81"/>
    <w:rsid w:val="00E20B12"/>
    <w:rsid w:val="00E20C29"/>
    <w:rsid w:val="00E20C4F"/>
    <w:rsid w:val="00E20C5F"/>
    <w:rsid w:val="00E2112D"/>
    <w:rsid w:val="00E2128B"/>
    <w:rsid w:val="00E216CC"/>
    <w:rsid w:val="00E216D1"/>
    <w:rsid w:val="00E219B3"/>
    <w:rsid w:val="00E21A93"/>
    <w:rsid w:val="00E21C40"/>
    <w:rsid w:val="00E21F93"/>
    <w:rsid w:val="00E2244A"/>
    <w:rsid w:val="00E2262C"/>
    <w:rsid w:val="00E22667"/>
    <w:rsid w:val="00E226F8"/>
    <w:rsid w:val="00E2285E"/>
    <w:rsid w:val="00E228C1"/>
    <w:rsid w:val="00E2294D"/>
    <w:rsid w:val="00E22D02"/>
    <w:rsid w:val="00E22DEE"/>
    <w:rsid w:val="00E22ECC"/>
    <w:rsid w:val="00E230DA"/>
    <w:rsid w:val="00E23288"/>
    <w:rsid w:val="00E23789"/>
    <w:rsid w:val="00E237A4"/>
    <w:rsid w:val="00E2381A"/>
    <w:rsid w:val="00E23975"/>
    <w:rsid w:val="00E23A4F"/>
    <w:rsid w:val="00E23A5A"/>
    <w:rsid w:val="00E23BAE"/>
    <w:rsid w:val="00E23D62"/>
    <w:rsid w:val="00E240A4"/>
    <w:rsid w:val="00E2493C"/>
    <w:rsid w:val="00E24E6C"/>
    <w:rsid w:val="00E24FC9"/>
    <w:rsid w:val="00E2509D"/>
    <w:rsid w:val="00E25368"/>
    <w:rsid w:val="00E25545"/>
    <w:rsid w:val="00E257EF"/>
    <w:rsid w:val="00E258E5"/>
    <w:rsid w:val="00E25971"/>
    <w:rsid w:val="00E259F8"/>
    <w:rsid w:val="00E25A80"/>
    <w:rsid w:val="00E25B35"/>
    <w:rsid w:val="00E25DAE"/>
    <w:rsid w:val="00E25E47"/>
    <w:rsid w:val="00E25F03"/>
    <w:rsid w:val="00E261DE"/>
    <w:rsid w:val="00E262D3"/>
    <w:rsid w:val="00E26307"/>
    <w:rsid w:val="00E26416"/>
    <w:rsid w:val="00E269E2"/>
    <w:rsid w:val="00E26BC3"/>
    <w:rsid w:val="00E26BDD"/>
    <w:rsid w:val="00E26D98"/>
    <w:rsid w:val="00E26E58"/>
    <w:rsid w:val="00E26EFB"/>
    <w:rsid w:val="00E26FC5"/>
    <w:rsid w:val="00E26FE2"/>
    <w:rsid w:val="00E270F5"/>
    <w:rsid w:val="00E274F6"/>
    <w:rsid w:val="00E27C45"/>
    <w:rsid w:val="00E27C56"/>
    <w:rsid w:val="00E27D3B"/>
    <w:rsid w:val="00E3008E"/>
    <w:rsid w:val="00E30361"/>
    <w:rsid w:val="00E30435"/>
    <w:rsid w:val="00E3045F"/>
    <w:rsid w:val="00E30536"/>
    <w:rsid w:val="00E30576"/>
    <w:rsid w:val="00E30660"/>
    <w:rsid w:val="00E309AC"/>
    <w:rsid w:val="00E30B3D"/>
    <w:rsid w:val="00E30B83"/>
    <w:rsid w:val="00E30CA8"/>
    <w:rsid w:val="00E30D18"/>
    <w:rsid w:val="00E30D58"/>
    <w:rsid w:val="00E30E13"/>
    <w:rsid w:val="00E30FCF"/>
    <w:rsid w:val="00E3123C"/>
    <w:rsid w:val="00E31D7A"/>
    <w:rsid w:val="00E31E38"/>
    <w:rsid w:val="00E31EA7"/>
    <w:rsid w:val="00E31FC5"/>
    <w:rsid w:val="00E32046"/>
    <w:rsid w:val="00E3224B"/>
    <w:rsid w:val="00E3250C"/>
    <w:rsid w:val="00E3254F"/>
    <w:rsid w:val="00E32600"/>
    <w:rsid w:val="00E32825"/>
    <w:rsid w:val="00E32873"/>
    <w:rsid w:val="00E328F1"/>
    <w:rsid w:val="00E32C36"/>
    <w:rsid w:val="00E32D8A"/>
    <w:rsid w:val="00E32DBC"/>
    <w:rsid w:val="00E32F48"/>
    <w:rsid w:val="00E3300E"/>
    <w:rsid w:val="00E3336B"/>
    <w:rsid w:val="00E33615"/>
    <w:rsid w:val="00E3370D"/>
    <w:rsid w:val="00E337B3"/>
    <w:rsid w:val="00E337D8"/>
    <w:rsid w:val="00E33967"/>
    <w:rsid w:val="00E339AC"/>
    <w:rsid w:val="00E33AAA"/>
    <w:rsid w:val="00E33BD8"/>
    <w:rsid w:val="00E33C27"/>
    <w:rsid w:val="00E33E1A"/>
    <w:rsid w:val="00E33E78"/>
    <w:rsid w:val="00E33F1F"/>
    <w:rsid w:val="00E33FEC"/>
    <w:rsid w:val="00E34171"/>
    <w:rsid w:val="00E34237"/>
    <w:rsid w:val="00E34335"/>
    <w:rsid w:val="00E3441D"/>
    <w:rsid w:val="00E344B7"/>
    <w:rsid w:val="00E345D1"/>
    <w:rsid w:val="00E348E9"/>
    <w:rsid w:val="00E34903"/>
    <w:rsid w:val="00E34A67"/>
    <w:rsid w:val="00E34AFE"/>
    <w:rsid w:val="00E34B0F"/>
    <w:rsid w:val="00E34D50"/>
    <w:rsid w:val="00E34D6C"/>
    <w:rsid w:val="00E34D83"/>
    <w:rsid w:val="00E34F3D"/>
    <w:rsid w:val="00E354BE"/>
    <w:rsid w:val="00E3576D"/>
    <w:rsid w:val="00E35803"/>
    <w:rsid w:val="00E35858"/>
    <w:rsid w:val="00E35CE2"/>
    <w:rsid w:val="00E35D26"/>
    <w:rsid w:val="00E35E63"/>
    <w:rsid w:val="00E35EE6"/>
    <w:rsid w:val="00E36192"/>
    <w:rsid w:val="00E363BE"/>
    <w:rsid w:val="00E3654B"/>
    <w:rsid w:val="00E365A1"/>
    <w:rsid w:val="00E36670"/>
    <w:rsid w:val="00E36887"/>
    <w:rsid w:val="00E36A6E"/>
    <w:rsid w:val="00E36BCA"/>
    <w:rsid w:val="00E36D25"/>
    <w:rsid w:val="00E36E32"/>
    <w:rsid w:val="00E36FE4"/>
    <w:rsid w:val="00E371C8"/>
    <w:rsid w:val="00E371F7"/>
    <w:rsid w:val="00E372F8"/>
    <w:rsid w:val="00E37414"/>
    <w:rsid w:val="00E374CD"/>
    <w:rsid w:val="00E374D9"/>
    <w:rsid w:val="00E37B57"/>
    <w:rsid w:val="00E37BAF"/>
    <w:rsid w:val="00E37BD7"/>
    <w:rsid w:val="00E37D22"/>
    <w:rsid w:val="00E37DE7"/>
    <w:rsid w:val="00E37ED1"/>
    <w:rsid w:val="00E4002E"/>
    <w:rsid w:val="00E40202"/>
    <w:rsid w:val="00E40404"/>
    <w:rsid w:val="00E4063B"/>
    <w:rsid w:val="00E407AD"/>
    <w:rsid w:val="00E40926"/>
    <w:rsid w:val="00E40C01"/>
    <w:rsid w:val="00E40E0E"/>
    <w:rsid w:val="00E40F13"/>
    <w:rsid w:val="00E410DC"/>
    <w:rsid w:val="00E41272"/>
    <w:rsid w:val="00E41576"/>
    <w:rsid w:val="00E41718"/>
    <w:rsid w:val="00E4191F"/>
    <w:rsid w:val="00E41924"/>
    <w:rsid w:val="00E41AEA"/>
    <w:rsid w:val="00E41B55"/>
    <w:rsid w:val="00E41B5C"/>
    <w:rsid w:val="00E41D66"/>
    <w:rsid w:val="00E41ECB"/>
    <w:rsid w:val="00E42068"/>
    <w:rsid w:val="00E420F6"/>
    <w:rsid w:val="00E4213C"/>
    <w:rsid w:val="00E42291"/>
    <w:rsid w:val="00E4229E"/>
    <w:rsid w:val="00E4241A"/>
    <w:rsid w:val="00E42431"/>
    <w:rsid w:val="00E4244C"/>
    <w:rsid w:val="00E4267C"/>
    <w:rsid w:val="00E42A66"/>
    <w:rsid w:val="00E42A78"/>
    <w:rsid w:val="00E43010"/>
    <w:rsid w:val="00E43038"/>
    <w:rsid w:val="00E432F3"/>
    <w:rsid w:val="00E43493"/>
    <w:rsid w:val="00E43542"/>
    <w:rsid w:val="00E43639"/>
    <w:rsid w:val="00E43A73"/>
    <w:rsid w:val="00E43B48"/>
    <w:rsid w:val="00E43C0B"/>
    <w:rsid w:val="00E43D74"/>
    <w:rsid w:val="00E442C0"/>
    <w:rsid w:val="00E444CD"/>
    <w:rsid w:val="00E447F1"/>
    <w:rsid w:val="00E44B32"/>
    <w:rsid w:val="00E44C40"/>
    <w:rsid w:val="00E44CF7"/>
    <w:rsid w:val="00E44D44"/>
    <w:rsid w:val="00E44D79"/>
    <w:rsid w:val="00E44DF3"/>
    <w:rsid w:val="00E45110"/>
    <w:rsid w:val="00E4533F"/>
    <w:rsid w:val="00E45353"/>
    <w:rsid w:val="00E4564E"/>
    <w:rsid w:val="00E4566A"/>
    <w:rsid w:val="00E45686"/>
    <w:rsid w:val="00E45A9B"/>
    <w:rsid w:val="00E45AF7"/>
    <w:rsid w:val="00E45B70"/>
    <w:rsid w:val="00E45D21"/>
    <w:rsid w:val="00E45DA5"/>
    <w:rsid w:val="00E45EDB"/>
    <w:rsid w:val="00E46541"/>
    <w:rsid w:val="00E466D6"/>
    <w:rsid w:val="00E468AF"/>
    <w:rsid w:val="00E468D6"/>
    <w:rsid w:val="00E46929"/>
    <w:rsid w:val="00E46A29"/>
    <w:rsid w:val="00E46A57"/>
    <w:rsid w:val="00E46A8B"/>
    <w:rsid w:val="00E46BF7"/>
    <w:rsid w:val="00E46E4B"/>
    <w:rsid w:val="00E46F4E"/>
    <w:rsid w:val="00E4729E"/>
    <w:rsid w:val="00E474AA"/>
    <w:rsid w:val="00E4785B"/>
    <w:rsid w:val="00E47966"/>
    <w:rsid w:val="00E4799A"/>
    <w:rsid w:val="00E479BE"/>
    <w:rsid w:val="00E47F32"/>
    <w:rsid w:val="00E502D8"/>
    <w:rsid w:val="00E50387"/>
    <w:rsid w:val="00E504B1"/>
    <w:rsid w:val="00E5055C"/>
    <w:rsid w:val="00E50592"/>
    <w:rsid w:val="00E505E7"/>
    <w:rsid w:val="00E505ED"/>
    <w:rsid w:val="00E5060F"/>
    <w:rsid w:val="00E506BA"/>
    <w:rsid w:val="00E50D6D"/>
    <w:rsid w:val="00E50EC1"/>
    <w:rsid w:val="00E50FA3"/>
    <w:rsid w:val="00E5129B"/>
    <w:rsid w:val="00E51493"/>
    <w:rsid w:val="00E514CC"/>
    <w:rsid w:val="00E51635"/>
    <w:rsid w:val="00E51878"/>
    <w:rsid w:val="00E51926"/>
    <w:rsid w:val="00E51955"/>
    <w:rsid w:val="00E51989"/>
    <w:rsid w:val="00E51B20"/>
    <w:rsid w:val="00E51F50"/>
    <w:rsid w:val="00E52036"/>
    <w:rsid w:val="00E521CE"/>
    <w:rsid w:val="00E52440"/>
    <w:rsid w:val="00E528C8"/>
    <w:rsid w:val="00E52931"/>
    <w:rsid w:val="00E52A4F"/>
    <w:rsid w:val="00E52F55"/>
    <w:rsid w:val="00E53061"/>
    <w:rsid w:val="00E53205"/>
    <w:rsid w:val="00E5324B"/>
    <w:rsid w:val="00E534A0"/>
    <w:rsid w:val="00E53758"/>
    <w:rsid w:val="00E53B64"/>
    <w:rsid w:val="00E53C0E"/>
    <w:rsid w:val="00E53CB3"/>
    <w:rsid w:val="00E53D0B"/>
    <w:rsid w:val="00E5414E"/>
    <w:rsid w:val="00E544F4"/>
    <w:rsid w:val="00E5466A"/>
    <w:rsid w:val="00E54A1B"/>
    <w:rsid w:val="00E54AA4"/>
    <w:rsid w:val="00E54B06"/>
    <w:rsid w:val="00E54FE4"/>
    <w:rsid w:val="00E55057"/>
    <w:rsid w:val="00E55114"/>
    <w:rsid w:val="00E55118"/>
    <w:rsid w:val="00E55846"/>
    <w:rsid w:val="00E558B6"/>
    <w:rsid w:val="00E559F3"/>
    <w:rsid w:val="00E55A50"/>
    <w:rsid w:val="00E55AD6"/>
    <w:rsid w:val="00E55E23"/>
    <w:rsid w:val="00E560FF"/>
    <w:rsid w:val="00E564D1"/>
    <w:rsid w:val="00E567F1"/>
    <w:rsid w:val="00E56839"/>
    <w:rsid w:val="00E5692E"/>
    <w:rsid w:val="00E56BF8"/>
    <w:rsid w:val="00E56C61"/>
    <w:rsid w:val="00E56CE8"/>
    <w:rsid w:val="00E56D8B"/>
    <w:rsid w:val="00E56DA5"/>
    <w:rsid w:val="00E56EF2"/>
    <w:rsid w:val="00E56FF1"/>
    <w:rsid w:val="00E56FF9"/>
    <w:rsid w:val="00E570F0"/>
    <w:rsid w:val="00E573D9"/>
    <w:rsid w:val="00E578A5"/>
    <w:rsid w:val="00E57D27"/>
    <w:rsid w:val="00E57F68"/>
    <w:rsid w:val="00E60413"/>
    <w:rsid w:val="00E60583"/>
    <w:rsid w:val="00E60785"/>
    <w:rsid w:val="00E608E3"/>
    <w:rsid w:val="00E609CD"/>
    <w:rsid w:val="00E60A0A"/>
    <w:rsid w:val="00E60DA3"/>
    <w:rsid w:val="00E60E80"/>
    <w:rsid w:val="00E60EC5"/>
    <w:rsid w:val="00E60EF3"/>
    <w:rsid w:val="00E61229"/>
    <w:rsid w:val="00E612BF"/>
    <w:rsid w:val="00E61381"/>
    <w:rsid w:val="00E61488"/>
    <w:rsid w:val="00E614BA"/>
    <w:rsid w:val="00E61713"/>
    <w:rsid w:val="00E6180F"/>
    <w:rsid w:val="00E6185A"/>
    <w:rsid w:val="00E61917"/>
    <w:rsid w:val="00E61B8F"/>
    <w:rsid w:val="00E61B93"/>
    <w:rsid w:val="00E61C4A"/>
    <w:rsid w:val="00E61C60"/>
    <w:rsid w:val="00E61D67"/>
    <w:rsid w:val="00E61D71"/>
    <w:rsid w:val="00E61E27"/>
    <w:rsid w:val="00E61EB1"/>
    <w:rsid w:val="00E62105"/>
    <w:rsid w:val="00E62229"/>
    <w:rsid w:val="00E62400"/>
    <w:rsid w:val="00E625BD"/>
    <w:rsid w:val="00E62733"/>
    <w:rsid w:val="00E6273A"/>
    <w:rsid w:val="00E62B54"/>
    <w:rsid w:val="00E62BB3"/>
    <w:rsid w:val="00E62F0A"/>
    <w:rsid w:val="00E631DB"/>
    <w:rsid w:val="00E632C7"/>
    <w:rsid w:val="00E633DE"/>
    <w:rsid w:val="00E63707"/>
    <w:rsid w:val="00E63AC3"/>
    <w:rsid w:val="00E63AFD"/>
    <w:rsid w:val="00E63ECB"/>
    <w:rsid w:val="00E63F37"/>
    <w:rsid w:val="00E6447C"/>
    <w:rsid w:val="00E64734"/>
    <w:rsid w:val="00E64A95"/>
    <w:rsid w:val="00E64B37"/>
    <w:rsid w:val="00E64C8A"/>
    <w:rsid w:val="00E65301"/>
    <w:rsid w:val="00E6553C"/>
    <w:rsid w:val="00E655C2"/>
    <w:rsid w:val="00E65685"/>
    <w:rsid w:val="00E65E2A"/>
    <w:rsid w:val="00E65FA7"/>
    <w:rsid w:val="00E65FD9"/>
    <w:rsid w:val="00E663B9"/>
    <w:rsid w:val="00E6657C"/>
    <w:rsid w:val="00E66877"/>
    <w:rsid w:val="00E66A0B"/>
    <w:rsid w:val="00E66B67"/>
    <w:rsid w:val="00E66BCC"/>
    <w:rsid w:val="00E66C53"/>
    <w:rsid w:val="00E66CA1"/>
    <w:rsid w:val="00E66CBA"/>
    <w:rsid w:val="00E67028"/>
    <w:rsid w:val="00E6714B"/>
    <w:rsid w:val="00E672F2"/>
    <w:rsid w:val="00E673B3"/>
    <w:rsid w:val="00E67599"/>
    <w:rsid w:val="00E67978"/>
    <w:rsid w:val="00E679C0"/>
    <w:rsid w:val="00E67A59"/>
    <w:rsid w:val="00E67AD3"/>
    <w:rsid w:val="00E67EA0"/>
    <w:rsid w:val="00E67F79"/>
    <w:rsid w:val="00E70039"/>
    <w:rsid w:val="00E70062"/>
    <w:rsid w:val="00E701D9"/>
    <w:rsid w:val="00E70355"/>
    <w:rsid w:val="00E7046C"/>
    <w:rsid w:val="00E705C4"/>
    <w:rsid w:val="00E70732"/>
    <w:rsid w:val="00E7086A"/>
    <w:rsid w:val="00E7090C"/>
    <w:rsid w:val="00E70931"/>
    <w:rsid w:val="00E7093B"/>
    <w:rsid w:val="00E70C96"/>
    <w:rsid w:val="00E70CC6"/>
    <w:rsid w:val="00E70E0F"/>
    <w:rsid w:val="00E70E6B"/>
    <w:rsid w:val="00E70F00"/>
    <w:rsid w:val="00E7115F"/>
    <w:rsid w:val="00E713D9"/>
    <w:rsid w:val="00E713DD"/>
    <w:rsid w:val="00E71443"/>
    <w:rsid w:val="00E715FB"/>
    <w:rsid w:val="00E71819"/>
    <w:rsid w:val="00E71B98"/>
    <w:rsid w:val="00E71E7E"/>
    <w:rsid w:val="00E71EDE"/>
    <w:rsid w:val="00E71F27"/>
    <w:rsid w:val="00E71F57"/>
    <w:rsid w:val="00E722EA"/>
    <w:rsid w:val="00E72351"/>
    <w:rsid w:val="00E724CD"/>
    <w:rsid w:val="00E72B60"/>
    <w:rsid w:val="00E72C14"/>
    <w:rsid w:val="00E72DAF"/>
    <w:rsid w:val="00E72F39"/>
    <w:rsid w:val="00E7300E"/>
    <w:rsid w:val="00E7306C"/>
    <w:rsid w:val="00E7322A"/>
    <w:rsid w:val="00E733D4"/>
    <w:rsid w:val="00E73542"/>
    <w:rsid w:val="00E7381C"/>
    <w:rsid w:val="00E738BF"/>
    <w:rsid w:val="00E739DE"/>
    <w:rsid w:val="00E73C53"/>
    <w:rsid w:val="00E73C94"/>
    <w:rsid w:val="00E741C1"/>
    <w:rsid w:val="00E7464F"/>
    <w:rsid w:val="00E7499B"/>
    <w:rsid w:val="00E74B4F"/>
    <w:rsid w:val="00E74C75"/>
    <w:rsid w:val="00E7505D"/>
    <w:rsid w:val="00E75140"/>
    <w:rsid w:val="00E7518A"/>
    <w:rsid w:val="00E75273"/>
    <w:rsid w:val="00E752CA"/>
    <w:rsid w:val="00E756C7"/>
    <w:rsid w:val="00E75B5A"/>
    <w:rsid w:val="00E75E21"/>
    <w:rsid w:val="00E76716"/>
    <w:rsid w:val="00E76836"/>
    <w:rsid w:val="00E76A05"/>
    <w:rsid w:val="00E76AB1"/>
    <w:rsid w:val="00E76AF6"/>
    <w:rsid w:val="00E76C1E"/>
    <w:rsid w:val="00E7714B"/>
    <w:rsid w:val="00E77307"/>
    <w:rsid w:val="00E773E9"/>
    <w:rsid w:val="00E77848"/>
    <w:rsid w:val="00E77B27"/>
    <w:rsid w:val="00E77F3F"/>
    <w:rsid w:val="00E8017F"/>
    <w:rsid w:val="00E80334"/>
    <w:rsid w:val="00E8046F"/>
    <w:rsid w:val="00E80471"/>
    <w:rsid w:val="00E806A8"/>
    <w:rsid w:val="00E80820"/>
    <w:rsid w:val="00E80A47"/>
    <w:rsid w:val="00E80A6C"/>
    <w:rsid w:val="00E80AC4"/>
    <w:rsid w:val="00E80EEB"/>
    <w:rsid w:val="00E80F60"/>
    <w:rsid w:val="00E8123B"/>
    <w:rsid w:val="00E818FD"/>
    <w:rsid w:val="00E819B7"/>
    <w:rsid w:val="00E819C4"/>
    <w:rsid w:val="00E81DB9"/>
    <w:rsid w:val="00E82162"/>
    <w:rsid w:val="00E821AB"/>
    <w:rsid w:val="00E82328"/>
    <w:rsid w:val="00E829BF"/>
    <w:rsid w:val="00E82F38"/>
    <w:rsid w:val="00E8307A"/>
    <w:rsid w:val="00E832DA"/>
    <w:rsid w:val="00E83573"/>
    <w:rsid w:val="00E835A6"/>
    <w:rsid w:val="00E83832"/>
    <w:rsid w:val="00E83914"/>
    <w:rsid w:val="00E83B59"/>
    <w:rsid w:val="00E83B91"/>
    <w:rsid w:val="00E83CA5"/>
    <w:rsid w:val="00E83CBF"/>
    <w:rsid w:val="00E83D92"/>
    <w:rsid w:val="00E83EA7"/>
    <w:rsid w:val="00E83FC2"/>
    <w:rsid w:val="00E8405F"/>
    <w:rsid w:val="00E843A9"/>
    <w:rsid w:val="00E843EC"/>
    <w:rsid w:val="00E844B6"/>
    <w:rsid w:val="00E844BF"/>
    <w:rsid w:val="00E84518"/>
    <w:rsid w:val="00E84613"/>
    <w:rsid w:val="00E84666"/>
    <w:rsid w:val="00E846DE"/>
    <w:rsid w:val="00E84CC6"/>
    <w:rsid w:val="00E84D73"/>
    <w:rsid w:val="00E84E28"/>
    <w:rsid w:val="00E8500A"/>
    <w:rsid w:val="00E850D6"/>
    <w:rsid w:val="00E85202"/>
    <w:rsid w:val="00E8556C"/>
    <w:rsid w:val="00E85571"/>
    <w:rsid w:val="00E859BB"/>
    <w:rsid w:val="00E85EFC"/>
    <w:rsid w:val="00E85F20"/>
    <w:rsid w:val="00E86396"/>
    <w:rsid w:val="00E864A2"/>
    <w:rsid w:val="00E86711"/>
    <w:rsid w:val="00E8675E"/>
    <w:rsid w:val="00E868FF"/>
    <w:rsid w:val="00E86941"/>
    <w:rsid w:val="00E86B86"/>
    <w:rsid w:val="00E86B90"/>
    <w:rsid w:val="00E86C4E"/>
    <w:rsid w:val="00E86CA8"/>
    <w:rsid w:val="00E86E6F"/>
    <w:rsid w:val="00E86FC3"/>
    <w:rsid w:val="00E87175"/>
    <w:rsid w:val="00E87216"/>
    <w:rsid w:val="00E8724A"/>
    <w:rsid w:val="00E87324"/>
    <w:rsid w:val="00E873AB"/>
    <w:rsid w:val="00E87889"/>
    <w:rsid w:val="00E87EF0"/>
    <w:rsid w:val="00E87F0D"/>
    <w:rsid w:val="00E900A2"/>
    <w:rsid w:val="00E9025A"/>
    <w:rsid w:val="00E90288"/>
    <w:rsid w:val="00E9029F"/>
    <w:rsid w:val="00E904D2"/>
    <w:rsid w:val="00E9058B"/>
    <w:rsid w:val="00E9065B"/>
    <w:rsid w:val="00E906C8"/>
    <w:rsid w:val="00E906E8"/>
    <w:rsid w:val="00E90CB1"/>
    <w:rsid w:val="00E90FD0"/>
    <w:rsid w:val="00E91267"/>
    <w:rsid w:val="00E91275"/>
    <w:rsid w:val="00E91389"/>
    <w:rsid w:val="00E913AD"/>
    <w:rsid w:val="00E91682"/>
    <w:rsid w:val="00E91857"/>
    <w:rsid w:val="00E91B0D"/>
    <w:rsid w:val="00E91C8B"/>
    <w:rsid w:val="00E91DC9"/>
    <w:rsid w:val="00E91DF5"/>
    <w:rsid w:val="00E9204D"/>
    <w:rsid w:val="00E922CD"/>
    <w:rsid w:val="00E92330"/>
    <w:rsid w:val="00E92587"/>
    <w:rsid w:val="00E9276F"/>
    <w:rsid w:val="00E928BD"/>
    <w:rsid w:val="00E931B6"/>
    <w:rsid w:val="00E9337F"/>
    <w:rsid w:val="00E933BA"/>
    <w:rsid w:val="00E9347D"/>
    <w:rsid w:val="00E936C8"/>
    <w:rsid w:val="00E9392B"/>
    <w:rsid w:val="00E93A96"/>
    <w:rsid w:val="00E93B8E"/>
    <w:rsid w:val="00E93C3F"/>
    <w:rsid w:val="00E93D18"/>
    <w:rsid w:val="00E93E48"/>
    <w:rsid w:val="00E94014"/>
    <w:rsid w:val="00E94234"/>
    <w:rsid w:val="00E9429B"/>
    <w:rsid w:val="00E94402"/>
    <w:rsid w:val="00E94537"/>
    <w:rsid w:val="00E9461E"/>
    <w:rsid w:val="00E94784"/>
    <w:rsid w:val="00E949FD"/>
    <w:rsid w:val="00E94CDA"/>
    <w:rsid w:val="00E94DBF"/>
    <w:rsid w:val="00E94E90"/>
    <w:rsid w:val="00E94E93"/>
    <w:rsid w:val="00E9540C"/>
    <w:rsid w:val="00E9559C"/>
    <w:rsid w:val="00E95B46"/>
    <w:rsid w:val="00E95B5A"/>
    <w:rsid w:val="00E9622E"/>
    <w:rsid w:val="00E963E8"/>
    <w:rsid w:val="00E96BC2"/>
    <w:rsid w:val="00E96C8F"/>
    <w:rsid w:val="00E96CBD"/>
    <w:rsid w:val="00E96EF3"/>
    <w:rsid w:val="00E970A4"/>
    <w:rsid w:val="00E97212"/>
    <w:rsid w:val="00E97375"/>
    <w:rsid w:val="00E973CA"/>
    <w:rsid w:val="00E977B1"/>
    <w:rsid w:val="00E97803"/>
    <w:rsid w:val="00E9796B"/>
    <w:rsid w:val="00E97AED"/>
    <w:rsid w:val="00E97D11"/>
    <w:rsid w:val="00EA01C5"/>
    <w:rsid w:val="00EA02BD"/>
    <w:rsid w:val="00EA04B1"/>
    <w:rsid w:val="00EA063C"/>
    <w:rsid w:val="00EA07EA"/>
    <w:rsid w:val="00EA0AD8"/>
    <w:rsid w:val="00EA0CDA"/>
    <w:rsid w:val="00EA0CDD"/>
    <w:rsid w:val="00EA0D98"/>
    <w:rsid w:val="00EA0DAF"/>
    <w:rsid w:val="00EA0EB3"/>
    <w:rsid w:val="00EA0F46"/>
    <w:rsid w:val="00EA0FC8"/>
    <w:rsid w:val="00EA12C2"/>
    <w:rsid w:val="00EA12ED"/>
    <w:rsid w:val="00EA1302"/>
    <w:rsid w:val="00EA15C7"/>
    <w:rsid w:val="00EA1659"/>
    <w:rsid w:val="00EA1862"/>
    <w:rsid w:val="00EA1A9E"/>
    <w:rsid w:val="00EA1CC0"/>
    <w:rsid w:val="00EA1DCA"/>
    <w:rsid w:val="00EA1E84"/>
    <w:rsid w:val="00EA1FB1"/>
    <w:rsid w:val="00EA240C"/>
    <w:rsid w:val="00EA2413"/>
    <w:rsid w:val="00EA24F9"/>
    <w:rsid w:val="00EA2598"/>
    <w:rsid w:val="00EA259A"/>
    <w:rsid w:val="00EA25E1"/>
    <w:rsid w:val="00EA26DF"/>
    <w:rsid w:val="00EA2B37"/>
    <w:rsid w:val="00EA3123"/>
    <w:rsid w:val="00EA32EF"/>
    <w:rsid w:val="00EA380A"/>
    <w:rsid w:val="00EA39F2"/>
    <w:rsid w:val="00EA3BAE"/>
    <w:rsid w:val="00EA3CCF"/>
    <w:rsid w:val="00EA3D01"/>
    <w:rsid w:val="00EA3FB3"/>
    <w:rsid w:val="00EA4098"/>
    <w:rsid w:val="00EA418C"/>
    <w:rsid w:val="00EA4259"/>
    <w:rsid w:val="00EA4303"/>
    <w:rsid w:val="00EA43A0"/>
    <w:rsid w:val="00EA43DB"/>
    <w:rsid w:val="00EA4454"/>
    <w:rsid w:val="00EA457F"/>
    <w:rsid w:val="00EA463F"/>
    <w:rsid w:val="00EA4933"/>
    <w:rsid w:val="00EA4A92"/>
    <w:rsid w:val="00EA4B7D"/>
    <w:rsid w:val="00EA50B4"/>
    <w:rsid w:val="00EA51B4"/>
    <w:rsid w:val="00EA520C"/>
    <w:rsid w:val="00EA5220"/>
    <w:rsid w:val="00EA5243"/>
    <w:rsid w:val="00EA5379"/>
    <w:rsid w:val="00EA55F5"/>
    <w:rsid w:val="00EA5688"/>
    <w:rsid w:val="00EA58A4"/>
    <w:rsid w:val="00EA5B07"/>
    <w:rsid w:val="00EA5D1F"/>
    <w:rsid w:val="00EA5EFF"/>
    <w:rsid w:val="00EA62B4"/>
    <w:rsid w:val="00EA665A"/>
    <w:rsid w:val="00EA6947"/>
    <w:rsid w:val="00EA6CE4"/>
    <w:rsid w:val="00EA6D05"/>
    <w:rsid w:val="00EA6FAB"/>
    <w:rsid w:val="00EA7201"/>
    <w:rsid w:val="00EA7449"/>
    <w:rsid w:val="00EA74C1"/>
    <w:rsid w:val="00EA74EE"/>
    <w:rsid w:val="00EA7518"/>
    <w:rsid w:val="00EA762F"/>
    <w:rsid w:val="00EA7A59"/>
    <w:rsid w:val="00EA7A79"/>
    <w:rsid w:val="00EA7B16"/>
    <w:rsid w:val="00EA7B6D"/>
    <w:rsid w:val="00EA7BB9"/>
    <w:rsid w:val="00EA7CF9"/>
    <w:rsid w:val="00EA7DDD"/>
    <w:rsid w:val="00EA7F30"/>
    <w:rsid w:val="00EA7F75"/>
    <w:rsid w:val="00EA7FA4"/>
    <w:rsid w:val="00EB009B"/>
    <w:rsid w:val="00EB00E7"/>
    <w:rsid w:val="00EB00FF"/>
    <w:rsid w:val="00EB0149"/>
    <w:rsid w:val="00EB024C"/>
    <w:rsid w:val="00EB02A3"/>
    <w:rsid w:val="00EB0307"/>
    <w:rsid w:val="00EB0363"/>
    <w:rsid w:val="00EB03E3"/>
    <w:rsid w:val="00EB057A"/>
    <w:rsid w:val="00EB06BB"/>
    <w:rsid w:val="00EB08F4"/>
    <w:rsid w:val="00EB0972"/>
    <w:rsid w:val="00EB09CE"/>
    <w:rsid w:val="00EB0D1B"/>
    <w:rsid w:val="00EB0F7F"/>
    <w:rsid w:val="00EB1000"/>
    <w:rsid w:val="00EB1520"/>
    <w:rsid w:val="00EB1549"/>
    <w:rsid w:val="00EB16E2"/>
    <w:rsid w:val="00EB1D8F"/>
    <w:rsid w:val="00EB1E36"/>
    <w:rsid w:val="00EB1FCE"/>
    <w:rsid w:val="00EB226E"/>
    <w:rsid w:val="00EB254C"/>
    <w:rsid w:val="00EB266E"/>
    <w:rsid w:val="00EB2762"/>
    <w:rsid w:val="00EB28F9"/>
    <w:rsid w:val="00EB29E4"/>
    <w:rsid w:val="00EB2AF7"/>
    <w:rsid w:val="00EB2BE1"/>
    <w:rsid w:val="00EB2C5E"/>
    <w:rsid w:val="00EB2E54"/>
    <w:rsid w:val="00EB30F3"/>
    <w:rsid w:val="00EB33E5"/>
    <w:rsid w:val="00EB3410"/>
    <w:rsid w:val="00EB3785"/>
    <w:rsid w:val="00EB3E18"/>
    <w:rsid w:val="00EB3F34"/>
    <w:rsid w:val="00EB435E"/>
    <w:rsid w:val="00EB439F"/>
    <w:rsid w:val="00EB4942"/>
    <w:rsid w:val="00EB49BD"/>
    <w:rsid w:val="00EB4B8F"/>
    <w:rsid w:val="00EB51AF"/>
    <w:rsid w:val="00EB546A"/>
    <w:rsid w:val="00EB54D7"/>
    <w:rsid w:val="00EB5604"/>
    <w:rsid w:val="00EB5675"/>
    <w:rsid w:val="00EB56D6"/>
    <w:rsid w:val="00EB5B39"/>
    <w:rsid w:val="00EB5CC8"/>
    <w:rsid w:val="00EB5CEA"/>
    <w:rsid w:val="00EB5DA0"/>
    <w:rsid w:val="00EB5E76"/>
    <w:rsid w:val="00EB6374"/>
    <w:rsid w:val="00EB65B1"/>
    <w:rsid w:val="00EB6B76"/>
    <w:rsid w:val="00EB702C"/>
    <w:rsid w:val="00EB7063"/>
    <w:rsid w:val="00EB72C5"/>
    <w:rsid w:val="00EB72F8"/>
    <w:rsid w:val="00EB73CD"/>
    <w:rsid w:val="00EB74B2"/>
    <w:rsid w:val="00EB7757"/>
    <w:rsid w:val="00EB790A"/>
    <w:rsid w:val="00EB7964"/>
    <w:rsid w:val="00EC04B4"/>
    <w:rsid w:val="00EC0515"/>
    <w:rsid w:val="00EC06B4"/>
    <w:rsid w:val="00EC070F"/>
    <w:rsid w:val="00EC0777"/>
    <w:rsid w:val="00EC086C"/>
    <w:rsid w:val="00EC0B77"/>
    <w:rsid w:val="00EC0BC7"/>
    <w:rsid w:val="00EC0BEA"/>
    <w:rsid w:val="00EC0C23"/>
    <w:rsid w:val="00EC0E69"/>
    <w:rsid w:val="00EC0EB0"/>
    <w:rsid w:val="00EC0EC4"/>
    <w:rsid w:val="00EC107A"/>
    <w:rsid w:val="00EC114D"/>
    <w:rsid w:val="00EC11DC"/>
    <w:rsid w:val="00EC138D"/>
    <w:rsid w:val="00EC147F"/>
    <w:rsid w:val="00EC15DB"/>
    <w:rsid w:val="00EC1649"/>
    <w:rsid w:val="00EC1704"/>
    <w:rsid w:val="00EC18C4"/>
    <w:rsid w:val="00EC1B64"/>
    <w:rsid w:val="00EC1D38"/>
    <w:rsid w:val="00EC1F9B"/>
    <w:rsid w:val="00EC2269"/>
    <w:rsid w:val="00EC22F6"/>
    <w:rsid w:val="00EC298E"/>
    <w:rsid w:val="00EC2A71"/>
    <w:rsid w:val="00EC2AE9"/>
    <w:rsid w:val="00EC2F62"/>
    <w:rsid w:val="00EC30F5"/>
    <w:rsid w:val="00EC328D"/>
    <w:rsid w:val="00EC37B3"/>
    <w:rsid w:val="00EC3B71"/>
    <w:rsid w:val="00EC3B86"/>
    <w:rsid w:val="00EC3E5C"/>
    <w:rsid w:val="00EC3F64"/>
    <w:rsid w:val="00EC3FB4"/>
    <w:rsid w:val="00EC431A"/>
    <w:rsid w:val="00EC453E"/>
    <w:rsid w:val="00EC4B0D"/>
    <w:rsid w:val="00EC4C5D"/>
    <w:rsid w:val="00EC4E24"/>
    <w:rsid w:val="00EC4E50"/>
    <w:rsid w:val="00EC55CE"/>
    <w:rsid w:val="00EC5AB2"/>
    <w:rsid w:val="00EC5D1B"/>
    <w:rsid w:val="00EC5D38"/>
    <w:rsid w:val="00EC61FC"/>
    <w:rsid w:val="00EC6253"/>
    <w:rsid w:val="00EC62B1"/>
    <w:rsid w:val="00EC63B4"/>
    <w:rsid w:val="00EC63F2"/>
    <w:rsid w:val="00EC64F3"/>
    <w:rsid w:val="00EC652C"/>
    <w:rsid w:val="00EC65AB"/>
    <w:rsid w:val="00EC65C8"/>
    <w:rsid w:val="00EC6629"/>
    <w:rsid w:val="00EC685A"/>
    <w:rsid w:val="00EC6864"/>
    <w:rsid w:val="00EC69DC"/>
    <w:rsid w:val="00EC6A0C"/>
    <w:rsid w:val="00EC6A29"/>
    <w:rsid w:val="00EC6E4B"/>
    <w:rsid w:val="00EC7129"/>
    <w:rsid w:val="00EC74D4"/>
    <w:rsid w:val="00EC7542"/>
    <w:rsid w:val="00EC77C3"/>
    <w:rsid w:val="00EC7834"/>
    <w:rsid w:val="00EC7939"/>
    <w:rsid w:val="00EC7DC3"/>
    <w:rsid w:val="00ED0331"/>
    <w:rsid w:val="00ED041D"/>
    <w:rsid w:val="00ED0497"/>
    <w:rsid w:val="00ED04E5"/>
    <w:rsid w:val="00ED0507"/>
    <w:rsid w:val="00ED077A"/>
    <w:rsid w:val="00ED0899"/>
    <w:rsid w:val="00ED0D44"/>
    <w:rsid w:val="00ED0FAF"/>
    <w:rsid w:val="00ED10C9"/>
    <w:rsid w:val="00ED12A8"/>
    <w:rsid w:val="00ED1431"/>
    <w:rsid w:val="00ED154D"/>
    <w:rsid w:val="00ED1C4C"/>
    <w:rsid w:val="00ED1D83"/>
    <w:rsid w:val="00ED1D91"/>
    <w:rsid w:val="00ED1E25"/>
    <w:rsid w:val="00ED20F4"/>
    <w:rsid w:val="00ED2202"/>
    <w:rsid w:val="00ED225B"/>
    <w:rsid w:val="00ED2519"/>
    <w:rsid w:val="00ED2846"/>
    <w:rsid w:val="00ED2C1B"/>
    <w:rsid w:val="00ED2E57"/>
    <w:rsid w:val="00ED30F1"/>
    <w:rsid w:val="00ED3477"/>
    <w:rsid w:val="00ED35B8"/>
    <w:rsid w:val="00ED3858"/>
    <w:rsid w:val="00ED3AD7"/>
    <w:rsid w:val="00ED3BC6"/>
    <w:rsid w:val="00ED3D4A"/>
    <w:rsid w:val="00ED3F2A"/>
    <w:rsid w:val="00ED3FDF"/>
    <w:rsid w:val="00ED4849"/>
    <w:rsid w:val="00ED495B"/>
    <w:rsid w:val="00ED498A"/>
    <w:rsid w:val="00ED49A6"/>
    <w:rsid w:val="00ED4B5A"/>
    <w:rsid w:val="00ED4D9D"/>
    <w:rsid w:val="00ED533D"/>
    <w:rsid w:val="00ED5373"/>
    <w:rsid w:val="00ED5586"/>
    <w:rsid w:val="00ED5922"/>
    <w:rsid w:val="00ED5A03"/>
    <w:rsid w:val="00ED5AA6"/>
    <w:rsid w:val="00ED5B0F"/>
    <w:rsid w:val="00ED5B30"/>
    <w:rsid w:val="00ED6098"/>
    <w:rsid w:val="00ED60C1"/>
    <w:rsid w:val="00ED615B"/>
    <w:rsid w:val="00ED65C4"/>
    <w:rsid w:val="00ED6A8D"/>
    <w:rsid w:val="00ED6B4F"/>
    <w:rsid w:val="00ED6C23"/>
    <w:rsid w:val="00ED7119"/>
    <w:rsid w:val="00ED7170"/>
    <w:rsid w:val="00ED720D"/>
    <w:rsid w:val="00ED7465"/>
    <w:rsid w:val="00ED74E2"/>
    <w:rsid w:val="00ED74F7"/>
    <w:rsid w:val="00ED7713"/>
    <w:rsid w:val="00ED773F"/>
    <w:rsid w:val="00ED78A0"/>
    <w:rsid w:val="00ED791D"/>
    <w:rsid w:val="00ED7B62"/>
    <w:rsid w:val="00ED7C1C"/>
    <w:rsid w:val="00ED7CF9"/>
    <w:rsid w:val="00ED7DC3"/>
    <w:rsid w:val="00EE01C5"/>
    <w:rsid w:val="00EE01CE"/>
    <w:rsid w:val="00EE0257"/>
    <w:rsid w:val="00EE03EE"/>
    <w:rsid w:val="00EE041B"/>
    <w:rsid w:val="00EE04AA"/>
    <w:rsid w:val="00EE04C1"/>
    <w:rsid w:val="00EE05BD"/>
    <w:rsid w:val="00EE09D4"/>
    <w:rsid w:val="00EE0A0C"/>
    <w:rsid w:val="00EE0AA1"/>
    <w:rsid w:val="00EE0BAD"/>
    <w:rsid w:val="00EE101C"/>
    <w:rsid w:val="00EE108A"/>
    <w:rsid w:val="00EE156D"/>
    <w:rsid w:val="00EE185B"/>
    <w:rsid w:val="00EE1B23"/>
    <w:rsid w:val="00EE1CDF"/>
    <w:rsid w:val="00EE1FC6"/>
    <w:rsid w:val="00EE2119"/>
    <w:rsid w:val="00EE246C"/>
    <w:rsid w:val="00EE249A"/>
    <w:rsid w:val="00EE2AB1"/>
    <w:rsid w:val="00EE2B64"/>
    <w:rsid w:val="00EE2C57"/>
    <w:rsid w:val="00EE2ED2"/>
    <w:rsid w:val="00EE33D5"/>
    <w:rsid w:val="00EE3470"/>
    <w:rsid w:val="00EE3636"/>
    <w:rsid w:val="00EE36E8"/>
    <w:rsid w:val="00EE3F65"/>
    <w:rsid w:val="00EE3FE6"/>
    <w:rsid w:val="00EE4086"/>
    <w:rsid w:val="00EE40A8"/>
    <w:rsid w:val="00EE40D9"/>
    <w:rsid w:val="00EE41DA"/>
    <w:rsid w:val="00EE4326"/>
    <w:rsid w:val="00EE443C"/>
    <w:rsid w:val="00EE479D"/>
    <w:rsid w:val="00EE47DD"/>
    <w:rsid w:val="00EE48E4"/>
    <w:rsid w:val="00EE4A62"/>
    <w:rsid w:val="00EE4BDA"/>
    <w:rsid w:val="00EE4D33"/>
    <w:rsid w:val="00EE5379"/>
    <w:rsid w:val="00EE5424"/>
    <w:rsid w:val="00EE56A9"/>
    <w:rsid w:val="00EE5800"/>
    <w:rsid w:val="00EE5908"/>
    <w:rsid w:val="00EE59DC"/>
    <w:rsid w:val="00EE5A60"/>
    <w:rsid w:val="00EE5AAC"/>
    <w:rsid w:val="00EE5C12"/>
    <w:rsid w:val="00EE5C3A"/>
    <w:rsid w:val="00EE5E26"/>
    <w:rsid w:val="00EE5EC4"/>
    <w:rsid w:val="00EE629F"/>
    <w:rsid w:val="00EE6411"/>
    <w:rsid w:val="00EE6C13"/>
    <w:rsid w:val="00EE6CA0"/>
    <w:rsid w:val="00EE6E1E"/>
    <w:rsid w:val="00EE723C"/>
    <w:rsid w:val="00EE7263"/>
    <w:rsid w:val="00EE78D0"/>
    <w:rsid w:val="00EE79AC"/>
    <w:rsid w:val="00EE7B34"/>
    <w:rsid w:val="00EE7B6D"/>
    <w:rsid w:val="00EE7EBF"/>
    <w:rsid w:val="00EE7FC0"/>
    <w:rsid w:val="00EF01C4"/>
    <w:rsid w:val="00EF0307"/>
    <w:rsid w:val="00EF03A5"/>
    <w:rsid w:val="00EF0526"/>
    <w:rsid w:val="00EF06E6"/>
    <w:rsid w:val="00EF088A"/>
    <w:rsid w:val="00EF0ADF"/>
    <w:rsid w:val="00EF0B70"/>
    <w:rsid w:val="00EF0BC5"/>
    <w:rsid w:val="00EF0D60"/>
    <w:rsid w:val="00EF0E0E"/>
    <w:rsid w:val="00EF120D"/>
    <w:rsid w:val="00EF12C8"/>
    <w:rsid w:val="00EF154F"/>
    <w:rsid w:val="00EF176A"/>
    <w:rsid w:val="00EF1945"/>
    <w:rsid w:val="00EF19EA"/>
    <w:rsid w:val="00EF1C6A"/>
    <w:rsid w:val="00EF2019"/>
    <w:rsid w:val="00EF20A5"/>
    <w:rsid w:val="00EF20A6"/>
    <w:rsid w:val="00EF20F2"/>
    <w:rsid w:val="00EF2130"/>
    <w:rsid w:val="00EF222C"/>
    <w:rsid w:val="00EF22B8"/>
    <w:rsid w:val="00EF2700"/>
    <w:rsid w:val="00EF2872"/>
    <w:rsid w:val="00EF2898"/>
    <w:rsid w:val="00EF2899"/>
    <w:rsid w:val="00EF28DD"/>
    <w:rsid w:val="00EF2964"/>
    <w:rsid w:val="00EF29E7"/>
    <w:rsid w:val="00EF2A0E"/>
    <w:rsid w:val="00EF2B71"/>
    <w:rsid w:val="00EF2B9A"/>
    <w:rsid w:val="00EF2E5D"/>
    <w:rsid w:val="00EF316B"/>
    <w:rsid w:val="00EF322C"/>
    <w:rsid w:val="00EF353F"/>
    <w:rsid w:val="00EF3AD7"/>
    <w:rsid w:val="00EF3BF4"/>
    <w:rsid w:val="00EF3D4F"/>
    <w:rsid w:val="00EF3DA5"/>
    <w:rsid w:val="00EF3EC7"/>
    <w:rsid w:val="00EF3FFC"/>
    <w:rsid w:val="00EF4195"/>
    <w:rsid w:val="00EF4241"/>
    <w:rsid w:val="00EF427C"/>
    <w:rsid w:val="00EF42F9"/>
    <w:rsid w:val="00EF4437"/>
    <w:rsid w:val="00EF44CE"/>
    <w:rsid w:val="00EF4648"/>
    <w:rsid w:val="00EF47F6"/>
    <w:rsid w:val="00EF4831"/>
    <w:rsid w:val="00EF4847"/>
    <w:rsid w:val="00EF496E"/>
    <w:rsid w:val="00EF4C3F"/>
    <w:rsid w:val="00EF4C9D"/>
    <w:rsid w:val="00EF4DAE"/>
    <w:rsid w:val="00EF4DC2"/>
    <w:rsid w:val="00EF4E4A"/>
    <w:rsid w:val="00EF4F83"/>
    <w:rsid w:val="00EF53C1"/>
    <w:rsid w:val="00EF58BE"/>
    <w:rsid w:val="00EF59BC"/>
    <w:rsid w:val="00EF5A7F"/>
    <w:rsid w:val="00EF5AB7"/>
    <w:rsid w:val="00EF5EBD"/>
    <w:rsid w:val="00EF5F9D"/>
    <w:rsid w:val="00EF6022"/>
    <w:rsid w:val="00EF62D2"/>
    <w:rsid w:val="00EF632D"/>
    <w:rsid w:val="00EF6354"/>
    <w:rsid w:val="00EF63F6"/>
    <w:rsid w:val="00EF64FD"/>
    <w:rsid w:val="00EF675F"/>
    <w:rsid w:val="00EF676B"/>
    <w:rsid w:val="00EF6D9E"/>
    <w:rsid w:val="00EF6E55"/>
    <w:rsid w:val="00EF6F1E"/>
    <w:rsid w:val="00EF733D"/>
    <w:rsid w:val="00EF7617"/>
    <w:rsid w:val="00EF763B"/>
    <w:rsid w:val="00EF7888"/>
    <w:rsid w:val="00EF7A0B"/>
    <w:rsid w:val="00EF7AEC"/>
    <w:rsid w:val="00EF7C46"/>
    <w:rsid w:val="00EF7D63"/>
    <w:rsid w:val="00EF7DAD"/>
    <w:rsid w:val="00EF7F8E"/>
    <w:rsid w:val="00EF7FB1"/>
    <w:rsid w:val="00F00050"/>
    <w:rsid w:val="00F00087"/>
    <w:rsid w:val="00F006FF"/>
    <w:rsid w:val="00F0092E"/>
    <w:rsid w:val="00F00A65"/>
    <w:rsid w:val="00F00B81"/>
    <w:rsid w:val="00F00B86"/>
    <w:rsid w:val="00F00DA2"/>
    <w:rsid w:val="00F0113B"/>
    <w:rsid w:val="00F01225"/>
    <w:rsid w:val="00F0133A"/>
    <w:rsid w:val="00F01604"/>
    <w:rsid w:val="00F01774"/>
    <w:rsid w:val="00F01A58"/>
    <w:rsid w:val="00F01ABF"/>
    <w:rsid w:val="00F01AE8"/>
    <w:rsid w:val="00F01CB5"/>
    <w:rsid w:val="00F01E53"/>
    <w:rsid w:val="00F01F2C"/>
    <w:rsid w:val="00F01F8A"/>
    <w:rsid w:val="00F01FFF"/>
    <w:rsid w:val="00F0214D"/>
    <w:rsid w:val="00F0252B"/>
    <w:rsid w:val="00F02548"/>
    <w:rsid w:val="00F02707"/>
    <w:rsid w:val="00F028DB"/>
    <w:rsid w:val="00F02931"/>
    <w:rsid w:val="00F02BAA"/>
    <w:rsid w:val="00F02C08"/>
    <w:rsid w:val="00F02C50"/>
    <w:rsid w:val="00F02CDE"/>
    <w:rsid w:val="00F02EC8"/>
    <w:rsid w:val="00F02F75"/>
    <w:rsid w:val="00F0300D"/>
    <w:rsid w:val="00F03129"/>
    <w:rsid w:val="00F03313"/>
    <w:rsid w:val="00F033B6"/>
    <w:rsid w:val="00F0361E"/>
    <w:rsid w:val="00F03727"/>
    <w:rsid w:val="00F03783"/>
    <w:rsid w:val="00F039BB"/>
    <w:rsid w:val="00F039DB"/>
    <w:rsid w:val="00F03C17"/>
    <w:rsid w:val="00F03DC7"/>
    <w:rsid w:val="00F03EEC"/>
    <w:rsid w:val="00F0423B"/>
    <w:rsid w:val="00F043A5"/>
    <w:rsid w:val="00F04552"/>
    <w:rsid w:val="00F04BD2"/>
    <w:rsid w:val="00F04C2A"/>
    <w:rsid w:val="00F04D15"/>
    <w:rsid w:val="00F04D2A"/>
    <w:rsid w:val="00F04FFF"/>
    <w:rsid w:val="00F05140"/>
    <w:rsid w:val="00F05403"/>
    <w:rsid w:val="00F054F6"/>
    <w:rsid w:val="00F05532"/>
    <w:rsid w:val="00F0556C"/>
    <w:rsid w:val="00F0559C"/>
    <w:rsid w:val="00F05645"/>
    <w:rsid w:val="00F0576A"/>
    <w:rsid w:val="00F05AC8"/>
    <w:rsid w:val="00F05DCA"/>
    <w:rsid w:val="00F063D0"/>
    <w:rsid w:val="00F065FD"/>
    <w:rsid w:val="00F06A9B"/>
    <w:rsid w:val="00F06BA2"/>
    <w:rsid w:val="00F07084"/>
    <w:rsid w:val="00F07093"/>
    <w:rsid w:val="00F0720C"/>
    <w:rsid w:val="00F07243"/>
    <w:rsid w:val="00F07279"/>
    <w:rsid w:val="00F072C1"/>
    <w:rsid w:val="00F07AC4"/>
    <w:rsid w:val="00F07B2F"/>
    <w:rsid w:val="00F07B31"/>
    <w:rsid w:val="00F07B74"/>
    <w:rsid w:val="00F07E36"/>
    <w:rsid w:val="00F07E8B"/>
    <w:rsid w:val="00F104DE"/>
    <w:rsid w:val="00F10610"/>
    <w:rsid w:val="00F1079B"/>
    <w:rsid w:val="00F10907"/>
    <w:rsid w:val="00F10958"/>
    <w:rsid w:val="00F10B15"/>
    <w:rsid w:val="00F10BDD"/>
    <w:rsid w:val="00F11115"/>
    <w:rsid w:val="00F114F4"/>
    <w:rsid w:val="00F11564"/>
    <w:rsid w:val="00F1162A"/>
    <w:rsid w:val="00F11661"/>
    <w:rsid w:val="00F11963"/>
    <w:rsid w:val="00F119EE"/>
    <w:rsid w:val="00F11C52"/>
    <w:rsid w:val="00F11C83"/>
    <w:rsid w:val="00F11E0B"/>
    <w:rsid w:val="00F11E3F"/>
    <w:rsid w:val="00F11EC9"/>
    <w:rsid w:val="00F1212D"/>
    <w:rsid w:val="00F12220"/>
    <w:rsid w:val="00F12227"/>
    <w:rsid w:val="00F12539"/>
    <w:rsid w:val="00F12582"/>
    <w:rsid w:val="00F12A86"/>
    <w:rsid w:val="00F1327B"/>
    <w:rsid w:val="00F13282"/>
    <w:rsid w:val="00F13601"/>
    <w:rsid w:val="00F139DD"/>
    <w:rsid w:val="00F13B65"/>
    <w:rsid w:val="00F13C62"/>
    <w:rsid w:val="00F13E2D"/>
    <w:rsid w:val="00F13E96"/>
    <w:rsid w:val="00F14774"/>
    <w:rsid w:val="00F14D1D"/>
    <w:rsid w:val="00F14EF5"/>
    <w:rsid w:val="00F14F24"/>
    <w:rsid w:val="00F14F35"/>
    <w:rsid w:val="00F15161"/>
    <w:rsid w:val="00F1523C"/>
    <w:rsid w:val="00F15258"/>
    <w:rsid w:val="00F1536B"/>
    <w:rsid w:val="00F15589"/>
    <w:rsid w:val="00F15698"/>
    <w:rsid w:val="00F157A7"/>
    <w:rsid w:val="00F15DA3"/>
    <w:rsid w:val="00F1600C"/>
    <w:rsid w:val="00F16118"/>
    <w:rsid w:val="00F161CD"/>
    <w:rsid w:val="00F165BF"/>
    <w:rsid w:val="00F16628"/>
    <w:rsid w:val="00F166A6"/>
    <w:rsid w:val="00F16750"/>
    <w:rsid w:val="00F16BEA"/>
    <w:rsid w:val="00F16DCD"/>
    <w:rsid w:val="00F16F56"/>
    <w:rsid w:val="00F17365"/>
    <w:rsid w:val="00F1749D"/>
    <w:rsid w:val="00F178CF"/>
    <w:rsid w:val="00F179A8"/>
    <w:rsid w:val="00F17AA5"/>
    <w:rsid w:val="00F17CC9"/>
    <w:rsid w:val="00F17F26"/>
    <w:rsid w:val="00F20251"/>
    <w:rsid w:val="00F203C8"/>
    <w:rsid w:val="00F2065A"/>
    <w:rsid w:val="00F2070B"/>
    <w:rsid w:val="00F20831"/>
    <w:rsid w:val="00F20894"/>
    <w:rsid w:val="00F208F5"/>
    <w:rsid w:val="00F20B8D"/>
    <w:rsid w:val="00F20C2C"/>
    <w:rsid w:val="00F20C70"/>
    <w:rsid w:val="00F20CCE"/>
    <w:rsid w:val="00F2110F"/>
    <w:rsid w:val="00F21544"/>
    <w:rsid w:val="00F21775"/>
    <w:rsid w:val="00F217B7"/>
    <w:rsid w:val="00F218FE"/>
    <w:rsid w:val="00F21928"/>
    <w:rsid w:val="00F219FC"/>
    <w:rsid w:val="00F21B84"/>
    <w:rsid w:val="00F21DDA"/>
    <w:rsid w:val="00F21F9C"/>
    <w:rsid w:val="00F22025"/>
    <w:rsid w:val="00F22330"/>
    <w:rsid w:val="00F224B6"/>
    <w:rsid w:val="00F227EA"/>
    <w:rsid w:val="00F2295B"/>
    <w:rsid w:val="00F22BA9"/>
    <w:rsid w:val="00F22E1A"/>
    <w:rsid w:val="00F22EA5"/>
    <w:rsid w:val="00F22FCB"/>
    <w:rsid w:val="00F230BF"/>
    <w:rsid w:val="00F23109"/>
    <w:rsid w:val="00F235DC"/>
    <w:rsid w:val="00F236C5"/>
    <w:rsid w:val="00F23769"/>
    <w:rsid w:val="00F239D3"/>
    <w:rsid w:val="00F23B8D"/>
    <w:rsid w:val="00F23E3B"/>
    <w:rsid w:val="00F23EF0"/>
    <w:rsid w:val="00F241A3"/>
    <w:rsid w:val="00F24293"/>
    <w:rsid w:val="00F2432C"/>
    <w:rsid w:val="00F24477"/>
    <w:rsid w:val="00F246C6"/>
    <w:rsid w:val="00F246F6"/>
    <w:rsid w:val="00F247FC"/>
    <w:rsid w:val="00F2483E"/>
    <w:rsid w:val="00F24BFC"/>
    <w:rsid w:val="00F24E02"/>
    <w:rsid w:val="00F251E4"/>
    <w:rsid w:val="00F2535E"/>
    <w:rsid w:val="00F25547"/>
    <w:rsid w:val="00F255E4"/>
    <w:rsid w:val="00F256C1"/>
    <w:rsid w:val="00F25735"/>
    <w:rsid w:val="00F257AD"/>
    <w:rsid w:val="00F25997"/>
    <w:rsid w:val="00F25D31"/>
    <w:rsid w:val="00F25E0B"/>
    <w:rsid w:val="00F25E6A"/>
    <w:rsid w:val="00F2607E"/>
    <w:rsid w:val="00F26124"/>
    <w:rsid w:val="00F26130"/>
    <w:rsid w:val="00F26137"/>
    <w:rsid w:val="00F263A7"/>
    <w:rsid w:val="00F267EE"/>
    <w:rsid w:val="00F26A77"/>
    <w:rsid w:val="00F26B4C"/>
    <w:rsid w:val="00F26BD9"/>
    <w:rsid w:val="00F26C93"/>
    <w:rsid w:val="00F26E5C"/>
    <w:rsid w:val="00F26E6E"/>
    <w:rsid w:val="00F26FE4"/>
    <w:rsid w:val="00F272D1"/>
    <w:rsid w:val="00F274C9"/>
    <w:rsid w:val="00F274F8"/>
    <w:rsid w:val="00F27689"/>
    <w:rsid w:val="00F276D3"/>
    <w:rsid w:val="00F27870"/>
    <w:rsid w:val="00F278DC"/>
    <w:rsid w:val="00F27AC8"/>
    <w:rsid w:val="00F27DFC"/>
    <w:rsid w:val="00F27F6A"/>
    <w:rsid w:val="00F30045"/>
    <w:rsid w:val="00F3021A"/>
    <w:rsid w:val="00F3067B"/>
    <w:rsid w:val="00F306CF"/>
    <w:rsid w:val="00F3096F"/>
    <w:rsid w:val="00F30BED"/>
    <w:rsid w:val="00F30C22"/>
    <w:rsid w:val="00F30DE7"/>
    <w:rsid w:val="00F3112A"/>
    <w:rsid w:val="00F312AA"/>
    <w:rsid w:val="00F31370"/>
    <w:rsid w:val="00F3195B"/>
    <w:rsid w:val="00F319FA"/>
    <w:rsid w:val="00F31D85"/>
    <w:rsid w:val="00F32027"/>
    <w:rsid w:val="00F32167"/>
    <w:rsid w:val="00F3232A"/>
    <w:rsid w:val="00F324B8"/>
    <w:rsid w:val="00F32790"/>
    <w:rsid w:val="00F32BF9"/>
    <w:rsid w:val="00F32C24"/>
    <w:rsid w:val="00F32CE2"/>
    <w:rsid w:val="00F3312E"/>
    <w:rsid w:val="00F33566"/>
    <w:rsid w:val="00F33659"/>
    <w:rsid w:val="00F33CDB"/>
    <w:rsid w:val="00F33D6B"/>
    <w:rsid w:val="00F34040"/>
    <w:rsid w:val="00F343C1"/>
    <w:rsid w:val="00F3452A"/>
    <w:rsid w:val="00F34697"/>
    <w:rsid w:val="00F348D3"/>
    <w:rsid w:val="00F34C12"/>
    <w:rsid w:val="00F34DE2"/>
    <w:rsid w:val="00F34EE1"/>
    <w:rsid w:val="00F35015"/>
    <w:rsid w:val="00F35069"/>
    <w:rsid w:val="00F35615"/>
    <w:rsid w:val="00F356F8"/>
    <w:rsid w:val="00F357FD"/>
    <w:rsid w:val="00F35808"/>
    <w:rsid w:val="00F35C7B"/>
    <w:rsid w:val="00F35D05"/>
    <w:rsid w:val="00F364A5"/>
    <w:rsid w:val="00F365A7"/>
    <w:rsid w:val="00F365F1"/>
    <w:rsid w:val="00F36904"/>
    <w:rsid w:val="00F36AF6"/>
    <w:rsid w:val="00F36B0E"/>
    <w:rsid w:val="00F36BE0"/>
    <w:rsid w:val="00F37172"/>
    <w:rsid w:val="00F373A7"/>
    <w:rsid w:val="00F3781C"/>
    <w:rsid w:val="00F37A13"/>
    <w:rsid w:val="00F37B29"/>
    <w:rsid w:val="00F37CAD"/>
    <w:rsid w:val="00F37CF0"/>
    <w:rsid w:val="00F37E03"/>
    <w:rsid w:val="00F37E33"/>
    <w:rsid w:val="00F37F32"/>
    <w:rsid w:val="00F37F9C"/>
    <w:rsid w:val="00F40325"/>
    <w:rsid w:val="00F406F8"/>
    <w:rsid w:val="00F4086E"/>
    <w:rsid w:val="00F40ACD"/>
    <w:rsid w:val="00F40E56"/>
    <w:rsid w:val="00F40E5A"/>
    <w:rsid w:val="00F40E60"/>
    <w:rsid w:val="00F40ED3"/>
    <w:rsid w:val="00F41125"/>
    <w:rsid w:val="00F412C5"/>
    <w:rsid w:val="00F4138C"/>
    <w:rsid w:val="00F41868"/>
    <w:rsid w:val="00F419D4"/>
    <w:rsid w:val="00F41BB7"/>
    <w:rsid w:val="00F41EC8"/>
    <w:rsid w:val="00F41EE9"/>
    <w:rsid w:val="00F42097"/>
    <w:rsid w:val="00F4245D"/>
    <w:rsid w:val="00F42A14"/>
    <w:rsid w:val="00F42AA4"/>
    <w:rsid w:val="00F42C03"/>
    <w:rsid w:val="00F42D98"/>
    <w:rsid w:val="00F433A9"/>
    <w:rsid w:val="00F4363F"/>
    <w:rsid w:val="00F4386C"/>
    <w:rsid w:val="00F4395B"/>
    <w:rsid w:val="00F43A0E"/>
    <w:rsid w:val="00F440E1"/>
    <w:rsid w:val="00F441FC"/>
    <w:rsid w:val="00F443C4"/>
    <w:rsid w:val="00F44765"/>
    <w:rsid w:val="00F44AD1"/>
    <w:rsid w:val="00F44BEC"/>
    <w:rsid w:val="00F44BFF"/>
    <w:rsid w:val="00F44C29"/>
    <w:rsid w:val="00F44D85"/>
    <w:rsid w:val="00F44D9E"/>
    <w:rsid w:val="00F45224"/>
    <w:rsid w:val="00F452B2"/>
    <w:rsid w:val="00F45342"/>
    <w:rsid w:val="00F4539D"/>
    <w:rsid w:val="00F45446"/>
    <w:rsid w:val="00F4558B"/>
    <w:rsid w:val="00F4585D"/>
    <w:rsid w:val="00F45975"/>
    <w:rsid w:val="00F45B46"/>
    <w:rsid w:val="00F45B6B"/>
    <w:rsid w:val="00F45B74"/>
    <w:rsid w:val="00F45C0B"/>
    <w:rsid w:val="00F461CE"/>
    <w:rsid w:val="00F46402"/>
    <w:rsid w:val="00F469D2"/>
    <w:rsid w:val="00F46C86"/>
    <w:rsid w:val="00F46F23"/>
    <w:rsid w:val="00F46F2B"/>
    <w:rsid w:val="00F47135"/>
    <w:rsid w:val="00F474C3"/>
    <w:rsid w:val="00F47880"/>
    <w:rsid w:val="00F47A4A"/>
    <w:rsid w:val="00F47C48"/>
    <w:rsid w:val="00F47D76"/>
    <w:rsid w:val="00F47D96"/>
    <w:rsid w:val="00F50524"/>
    <w:rsid w:val="00F5067A"/>
    <w:rsid w:val="00F506F3"/>
    <w:rsid w:val="00F508EF"/>
    <w:rsid w:val="00F50EC5"/>
    <w:rsid w:val="00F5107C"/>
    <w:rsid w:val="00F513D4"/>
    <w:rsid w:val="00F514EB"/>
    <w:rsid w:val="00F51513"/>
    <w:rsid w:val="00F517CC"/>
    <w:rsid w:val="00F5203E"/>
    <w:rsid w:val="00F523DA"/>
    <w:rsid w:val="00F525B4"/>
    <w:rsid w:val="00F526A4"/>
    <w:rsid w:val="00F5297B"/>
    <w:rsid w:val="00F52A22"/>
    <w:rsid w:val="00F52DD2"/>
    <w:rsid w:val="00F52E95"/>
    <w:rsid w:val="00F53079"/>
    <w:rsid w:val="00F53113"/>
    <w:rsid w:val="00F534F4"/>
    <w:rsid w:val="00F53605"/>
    <w:rsid w:val="00F538DA"/>
    <w:rsid w:val="00F539F7"/>
    <w:rsid w:val="00F53F12"/>
    <w:rsid w:val="00F54004"/>
    <w:rsid w:val="00F54574"/>
    <w:rsid w:val="00F5470F"/>
    <w:rsid w:val="00F5471A"/>
    <w:rsid w:val="00F5490D"/>
    <w:rsid w:val="00F54A13"/>
    <w:rsid w:val="00F553A0"/>
    <w:rsid w:val="00F55585"/>
    <w:rsid w:val="00F556F9"/>
    <w:rsid w:val="00F558D7"/>
    <w:rsid w:val="00F5591B"/>
    <w:rsid w:val="00F55AAB"/>
    <w:rsid w:val="00F55C09"/>
    <w:rsid w:val="00F55F8F"/>
    <w:rsid w:val="00F55FC9"/>
    <w:rsid w:val="00F5605B"/>
    <w:rsid w:val="00F56323"/>
    <w:rsid w:val="00F56380"/>
    <w:rsid w:val="00F567E5"/>
    <w:rsid w:val="00F56839"/>
    <w:rsid w:val="00F56AA5"/>
    <w:rsid w:val="00F56C4F"/>
    <w:rsid w:val="00F56F41"/>
    <w:rsid w:val="00F570B8"/>
    <w:rsid w:val="00F57336"/>
    <w:rsid w:val="00F57585"/>
    <w:rsid w:val="00F57620"/>
    <w:rsid w:val="00F5766A"/>
    <w:rsid w:val="00F57D24"/>
    <w:rsid w:val="00F57F57"/>
    <w:rsid w:val="00F57F8A"/>
    <w:rsid w:val="00F57F8B"/>
    <w:rsid w:val="00F57F9B"/>
    <w:rsid w:val="00F60189"/>
    <w:rsid w:val="00F60232"/>
    <w:rsid w:val="00F60427"/>
    <w:rsid w:val="00F6088C"/>
    <w:rsid w:val="00F60A5C"/>
    <w:rsid w:val="00F60B3D"/>
    <w:rsid w:val="00F60C81"/>
    <w:rsid w:val="00F60E3F"/>
    <w:rsid w:val="00F60EEE"/>
    <w:rsid w:val="00F60F98"/>
    <w:rsid w:val="00F6116E"/>
    <w:rsid w:val="00F613B4"/>
    <w:rsid w:val="00F613C4"/>
    <w:rsid w:val="00F61634"/>
    <w:rsid w:val="00F616C7"/>
    <w:rsid w:val="00F61899"/>
    <w:rsid w:val="00F6191B"/>
    <w:rsid w:val="00F6193F"/>
    <w:rsid w:val="00F61B41"/>
    <w:rsid w:val="00F61DA4"/>
    <w:rsid w:val="00F62037"/>
    <w:rsid w:val="00F62143"/>
    <w:rsid w:val="00F62242"/>
    <w:rsid w:val="00F62705"/>
    <w:rsid w:val="00F628A5"/>
    <w:rsid w:val="00F6305C"/>
    <w:rsid w:val="00F6322E"/>
    <w:rsid w:val="00F637A5"/>
    <w:rsid w:val="00F63937"/>
    <w:rsid w:val="00F639A9"/>
    <w:rsid w:val="00F63AA4"/>
    <w:rsid w:val="00F63C27"/>
    <w:rsid w:val="00F63CD8"/>
    <w:rsid w:val="00F64344"/>
    <w:rsid w:val="00F64476"/>
    <w:rsid w:val="00F645C5"/>
    <w:rsid w:val="00F6469B"/>
    <w:rsid w:val="00F647AA"/>
    <w:rsid w:val="00F647E5"/>
    <w:rsid w:val="00F64980"/>
    <w:rsid w:val="00F649F0"/>
    <w:rsid w:val="00F64A6B"/>
    <w:rsid w:val="00F64B17"/>
    <w:rsid w:val="00F64BB2"/>
    <w:rsid w:val="00F64C37"/>
    <w:rsid w:val="00F64C6E"/>
    <w:rsid w:val="00F64E35"/>
    <w:rsid w:val="00F64EA5"/>
    <w:rsid w:val="00F64EF9"/>
    <w:rsid w:val="00F6500C"/>
    <w:rsid w:val="00F652A7"/>
    <w:rsid w:val="00F6538F"/>
    <w:rsid w:val="00F653D0"/>
    <w:rsid w:val="00F65451"/>
    <w:rsid w:val="00F6552D"/>
    <w:rsid w:val="00F655F7"/>
    <w:rsid w:val="00F6597C"/>
    <w:rsid w:val="00F65E25"/>
    <w:rsid w:val="00F65F60"/>
    <w:rsid w:val="00F6629E"/>
    <w:rsid w:val="00F6642D"/>
    <w:rsid w:val="00F666F2"/>
    <w:rsid w:val="00F668B4"/>
    <w:rsid w:val="00F66B34"/>
    <w:rsid w:val="00F66B6A"/>
    <w:rsid w:val="00F66BBE"/>
    <w:rsid w:val="00F66C45"/>
    <w:rsid w:val="00F66D2E"/>
    <w:rsid w:val="00F66D80"/>
    <w:rsid w:val="00F66DAC"/>
    <w:rsid w:val="00F6703E"/>
    <w:rsid w:val="00F67187"/>
    <w:rsid w:val="00F672A1"/>
    <w:rsid w:val="00F6742A"/>
    <w:rsid w:val="00F67485"/>
    <w:rsid w:val="00F67530"/>
    <w:rsid w:val="00F6754E"/>
    <w:rsid w:val="00F6759A"/>
    <w:rsid w:val="00F675E1"/>
    <w:rsid w:val="00F6790A"/>
    <w:rsid w:val="00F67B0E"/>
    <w:rsid w:val="00F67B70"/>
    <w:rsid w:val="00F67F47"/>
    <w:rsid w:val="00F70247"/>
    <w:rsid w:val="00F703FF"/>
    <w:rsid w:val="00F705A8"/>
    <w:rsid w:val="00F70B16"/>
    <w:rsid w:val="00F70F95"/>
    <w:rsid w:val="00F712BB"/>
    <w:rsid w:val="00F712D2"/>
    <w:rsid w:val="00F7158D"/>
    <w:rsid w:val="00F71665"/>
    <w:rsid w:val="00F71A10"/>
    <w:rsid w:val="00F71A3A"/>
    <w:rsid w:val="00F71AF1"/>
    <w:rsid w:val="00F722EE"/>
    <w:rsid w:val="00F723C7"/>
    <w:rsid w:val="00F72522"/>
    <w:rsid w:val="00F72614"/>
    <w:rsid w:val="00F728E2"/>
    <w:rsid w:val="00F7298C"/>
    <w:rsid w:val="00F72A5D"/>
    <w:rsid w:val="00F72ACC"/>
    <w:rsid w:val="00F72D78"/>
    <w:rsid w:val="00F72E8D"/>
    <w:rsid w:val="00F7307C"/>
    <w:rsid w:val="00F7308F"/>
    <w:rsid w:val="00F73141"/>
    <w:rsid w:val="00F73205"/>
    <w:rsid w:val="00F73208"/>
    <w:rsid w:val="00F73566"/>
    <w:rsid w:val="00F73636"/>
    <w:rsid w:val="00F73643"/>
    <w:rsid w:val="00F736F4"/>
    <w:rsid w:val="00F73719"/>
    <w:rsid w:val="00F73791"/>
    <w:rsid w:val="00F738C7"/>
    <w:rsid w:val="00F73AE3"/>
    <w:rsid w:val="00F73B54"/>
    <w:rsid w:val="00F73D6D"/>
    <w:rsid w:val="00F73FB2"/>
    <w:rsid w:val="00F7431B"/>
    <w:rsid w:val="00F745E2"/>
    <w:rsid w:val="00F748EF"/>
    <w:rsid w:val="00F74B58"/>
    <w:rsid w:val="00F75003"/>
    <w:rsid w:val="00F7500E"/>
    <w:rsid w:val="00F750C1"/>
    <w:rsid w:val="00F75382"/>
    <w:rsid w:val="00F7539E"/>
    <w:rsid w:val="00F756E6"/>
    <w:rsid w:val="00F7571F"/>
    <w:rsid w:val="00F75849"/>
    <w:rsid w:val="00F758D5"/>
    <w:rsid w:val="00F75A45"/>
    <w:rsid w:val="00F75BD9"/>
    <w:rsid w:val="00F75C59"/>
    <w:rsid w:val="00F75DF7"/>
    <w:rsid w:val="00F75FFB"/>
    <w:rsid w:val="00F76104"/>
    <w:rsid w:val="00F7612C"/>
    <w:rsid w:val="00F761DB"/>
    <w:rsid w:val="00F76200"/>
    <w:rsid w:val="00F7649D"/>
    <w:rsid w:val="00F76703"/>
    <w:rsid w:val="00F76854"/>
    <w:rsid w:val="00F76973"/>
    <w:rsid w:val="00F76A3A"/>
    <w:rsid w:val="00F76EB7"/>
    <w:rsid w:val="00F77066"/>
    <w:rsid w:val="00F77107"/>
    <w:rsid w:val="00F771FB"/>
    <w:rsid w:val="00F77248"/>
    <w:rsid w:val="00F77334"/>
    <w:rsid w:val="00F77425"/>
    <w:rsid w:val="00F776BD"/>
    <w:rsid w:val="00F77857"/>
    <w:rsid w:val="00F7799B"/>
    <w:rsid w:val="00F779F7"/>
    <w:rsid w:val="00F77C78"/>
    <w:rsid w:val="00F77D1A"/>
    <w:rsid w:val="00F77DA0"/>
    <w:rsid w:val="00F77F76"/>
    <w:rsid w:val="00F801DA"/>
    <w:rsid w:val="00F8049A"/>
    <w:rsid w:val="00F805DA"/>
    <w:rsid w:val="00F80669"/>
    <w:rsid w:val="00F807DA"/>
    <w:rsid w:val="00F80CDF"/>
    <w:rsid w:val="00F80D8F"/>
    <w:rsid w:val="00F80F75"/>
    <w:rsid w:val="00F80F8F"/>
    <w:rsid w:val="00F8158D"/>
    <w:rsid w:val="00F81A3C"/>
    <w:rsid w:val="00F81AE4"/>
    <w:rsid w:val="00F81C60"/>
    <w:rsid w:val="00F81DBD"/>
    <w:rsid w:val="00F81E2E"/>
    <w:rsid w:val="00F82117"/>
    <w:rsid w:val="00F8212B"/>
    <w:rsid w:val="00F82366"/>
    <w:rsid w:val="00F824EA"/>
    <w:rsid w:val="00F82548"/>
    <w:rsid w:val="00F8270E"/>
    <w:rsid w:val="00F82BF7"/>
    <w:rsid w:val="00F82CE1"/>
    <w:rsid w:val="00F82F58"/>
    <w:rsid w:val="00F83204"/>
    <w:rsid w:val="00F834C6"/>
    <w:rsid w:val="00F834ED"/>
    <w:rsid w:val="00F83549"/>
    <w:rsid w:val="00F83C03"/>
    <w:rsid w:val="00F83EE1"/>
    <w:rsid w:val="00F840F0"/>
    <w:rsid w:val="00F842A8"/>
    <w:rsid w:val="00F845E4"/>
    <w:rsid w:val="00F84651"/>
    <w:rsid w:val="00F846D4"/>
    <w:rsid w:val="00F84744"/>
    <w:rsid w:val="00F848AA"/>
    <w:rsid w:val="00F84972"/>
    <w:rsid w:val="00F84BC5"/>
    <w:rsid w:val="00F84E6E"/>
    <w:rsid w:val="00F84E72"/>
    <w:rsid w:val="00F857D5"/>
    <w:rsid w:val="00F85804"/>
    <w:rsid w:val="00F85964"/>
    <w:rsid w:val="00F85A12"/>
    <w:rsid w:val="00F85F0F"/>
    <w:rsid w:val="00F85FF5"/>
    <w:rsid w:val="00F86329"/>
    <w:rsid w:val="00F86361"/>
    <w:rsid w:val="00F8647C"/>
    <w:rsid w:val="00F8651F"/>
    <w:rsid w:val="00F86681"/>
    <w:rsid w:val="00F86C23"/>
    <w:rsid w:val="00F86CB6"/>
    <w:rsid w:val="00F86F0F"/>
    <w:rsid w:val="00F874CE"/>
    <w:rsid w:val="00F87514"/>
    <w:rsid w:val="00F87565"/>
    <w:rsid w:val="00F875BD"/>
    <w:rsid w:val="00F875F0"/>
    <w:rsid w:val="00F877D8"/>
    <w:rsid w:val="00F87ADB"/>
    <w:rsid w:val="00F87B19"/>
    <w:rsid w:val="00F87FDF"/>
    <w:rsid w:val="00F9016F"/>
    <w:rsid w:val="00F903F4"/>
    <w:rsid w:val="00F90577"/>
    <w:rsid w:val="00F90920"/>
    <w:rsid w:val="00F90984"/>
    <w:rsid w:val="00F90A00"/>
    <w:rsid w:val="00F90C92"/>
    <w:rsid w:val="00F90CFA"/>
    <w:rsid w:val="00F91112"/>
    <w:rsid w:val="00F911AC"/>
    <w:rsid w:val="00F9143B"/>
    <w:rsid w:val="00F916A7"/>
    <w:rsid w:val="00F91A1C"/>
    <w:rsid w:val="00F91CC7"/>
    <w:rsid w:val="00F91ED4"/>
    <w:rsid w:val="00F92437"/>
    <w:rsid w:val="00F92A12"/>
    <w:rsid w:val="00F92C8C"/>
    <w:rsid w:val="00F92F78"/>
    <w:rsid w:val="00F931C2"/>
    <w:rsid w:val="00F932A8"/>
    <w:rsid w:val="00F9355B"/>
    <w:rsid w:val="00F9381E"/>
    <w:rsid w:val="00F9382C"/>
    <w:rsid w:val="00F93BBE"/>
    <w:rsid w:val="00F93CA8"/>
    <w:rsid w:val="00F93D6B"/>
    <w:rsid w:val="00F93DF0"/>
    <w:rsid w:val="00F93E3E"/>
    <w:rsid w:val="00F93E96"/>
    <w:rsid w:val="00F93F01"/>
    <w:rsid w:val="00F940EA"/>
    <w:rsid w:val="00F94335"/>
    <w:rsid w:val="00F944AB"/>
    <w:rsid w:val="00F94609"/>
    <w:rsid w:val="00F946AD"/>
    <w:rsid w:val="00F9481A"/>
    <w:rsid w:val="00F94980"/>
    <w:rsid w:val="00F94ADB"/>
    <w:rsid w:val="00F94BAA"/>
    <w:rsid w:val="00F950C8"/>
    <w:rsid w:val="00F9510A"/>
    <w:rsid w:val="00F95218"/>
    <w:rsid w:val="00F95588"/>
    <w:rsid w:val="00F95603"/>
    <w:rsid w:val="00F95625"/>
    <w:rsid w:val="00F957A6"/>
    <w:rsid w:val="00F958F0"/>
    <w:rsid w:val="00F95B09"/>
    <w:rsid w:val="00F95C64"/>
    <w:rsid w:val="00F95CCA"/>
    <w:rsid w:val="00F95F90"/>
    <w:rsid w:val="00F96006"/>
    <w:rsid w:val="00F96360"/>
    <w:rsid w:val="00F965C8"/>
    <w:rsid w:val="00F966CB"/>
    <w:rsid w:val="00F96C0F"/>
    <w:rsid w:val="00F96D9B"/>
    <w:rsid w:val="00F97180"/>
    <w:rsid w:val="00F97381"/>
    <w:rsid w:val="00F9740F"/>
    <w:rsid w:val="00F9760C"/>
    <w:rsid w:val="00F97C83"/>
    <w:rsid w:val="00F97CBD"/>
    <w:rsid w:val="00F97DEB"/>
    <w:rsid w:val="00F97E88"/>
    <w:rsid w:val="00F97E97"/>
    <w:rsid w:val="00F97ED1"/>
    <w:rsid w:val="00FA009E"/>
    <w:rsid w:val="00FA019C"/>
    <w:rsid w:val="00FA02E7"/>
    <w:rsid w:val="00FA0388"/>
    <w:rsid w:val="00FA06FB"/>
    <w:rsid w:val="00FA0715"/>
    <w:rsid w:val="00FA0786"/>
    <w:rsid w:val="00FA0817"/>
    <w:rsid w:val="00FA0842"/>
    <w:rsid w:val="00FA0883"/>
    <w:rsid w:val="00FA0962"/>
    <w:rsid w:val="00FA0B14"/>
    <w:rsid w:val="00FA0CA7"/>
    <w:rsid w:val="00FA0D3B"/>
    <w:rsid w:val="00FA0E72"/>
    <w:rsid w:val="00FA14AE"/>
    <w:rsid w:val="00FA181B"/>
    <w:rsid w:val="00FA1FC2"/>
    <w:rsid w:val="00FA2426"/>
    <w:rsid w:val="00FA24EF"/>
    <w:rsid w:val="00FA287C"/>
    <w:rsid w:val="00FA28EC"/>
    <w:rsid w:val="00FA2C65"/>
    <w:rsid w:val="00FA2D82"/>
    <w:rsid w:val="00FA2E67"/>
    <w:rsid w:val="00FA31D1"/>
    <w:rsid w:val="00FA329E"/>
    <w:rsid w:val="00FA32CD"/>
    <w:rsid w:val="00FA346F"/>
    <w:rsid w:val="00FA34C8"/>
    <w:rsid w:val="00FA35D9"/>
    <w:rsid w:val="00FA3663"/>
    <w:rsid w:val="00FA378B"/>
    <w:rsid w:val="00FA3867"/>
    <w:rsid w:val="00FA38DD"/>
    <w:rsid w:val="00FA395E"/>
    <w:rsid w:val="00FA3A80"/>
    <w:rsid w:val="00FA3CCB"/>
    <w:rsid w:val="00FA44CA"/>
    <w:rsid w:val="00FA4D44"/>
    <w:rsid w:val="00FA4DDF"/>
    <w:rsid w:val="00FA4E61"/>
    <w:rsid w:val="00FA4F9B"/>
    <w:rsid w:val="00FA506A"/>
    <w:rsid w:val="00FA514E"/>
    <w:rsid w:val="00FA561C"/>
    <w:rsid w:val="00FA577F"/>
    <w:rsid w:val="00FA5910"/>
    <w:rsid w:val="00FA5D4D"/>
    <w:rsid w:val="00FA5E9F"/>
    <w:rsid w:val="00FA6074"/>
    <w:rsid w:val="00FA62A0"/>
    <w:rsid w:val="00FA6336"/>
    <w:rsid w:val="00FA66E2"/>
    <w:rsid w:val="00FA6702"/>
    <w:rsid w:val="00FA67A0"/>
    <w:rsid w:val="00FA6B22"/>
    <w:rsid w:val="00FA6F20"/>
    <w:rsid w:val="00FA719B"/>
    <w:rsid w:val="00FA748E"/>
    <w:rsid w:val="00FA750A"/>
    <w:rsid w:val="00FA76B2"/>
    <w:rsid w:val="00FA778C"/>
    <w:rsid w:val="00FA7852"/>
    <w:rsid w:val="00FA7A36"/>
    <w:rsid w:val="00FA7BA5"/>
    <w:rsid w:val="00FA7DF4"/>
    <w:rsid w:val="00FA7E6D"/>
    <w:rsid w:val="00FA7FA8"/>
    <w:rsid w:val="00FA7FD1"/>
    <w:rsid w:val="00FB0111"/>
    <w:rsid w:val="00FB01E6"/>
    <w:rsid w:val="00FB0367"/>
    <w:rsid w:val="00FB047F"/>
    <w:rsid w:val="00FB05E4"/>
    <w:rsid w:val="00FB07F0"/>
    <w:rsid w:val="00FB0826"/>
    <w:rsid w:val="00FB0C20"/>
    <w:rsid w:val="00FB0C6C"/>
    <w:rsid w:val="00FB0E46"/>
    <w:rsid w:val="00FB0FA9"/>
    <w:rsid w:val="00FB117F"/>
    <w:rsid w:val="00FB12F7"/>
    <w:rsid w:val="00FB1398"/>
    <w:rsid w:val="00FB1558"/>
    <w:rsid w:val="00FB160A"/>
    <w:rsid w:val="00FB16D9"/>
    <w:rsid w:val="00FB1760"/>
    <w:rsid w:val="00FB1877"/>
    <w:rsid w:val="00FB1980"/>
    <w:rsid w:val="00FB1B09"/>
    <w:rsid w:val="00FB1B8F"/>
    <w:rsid w:val="00FB1BDD"/>
    <w:rsid w:val="00FB1CFC"/>
    <w:rsid w:val="00FB1D6A"/>
    <w:rsid w:val="00FB1D6E"/>
    <w:rsid w:val="00FB2138"/>
    <w:rsid w:val="00FB25F1"/>
    <w:rsid w:val="00FB2810"/>
    <w:rsid w:val="00FB2944"/>
    <w:rsid w:val="00FB2981"/>
    <w:rsid w:val="00FB29A0"/>
    <w:rsid w:val="00FB2AA0"/>
    <w:rsid w:val="00FB2DCD"/>
    <w:rsid w:val="00FB2DD6"/>
    <w:rsid w:val="00FB2FB1"/>
    <w:rsid w:val="00FB3032"/>
    <w:rsid w:val="00FB3204"/>
    <w:rsid w:val="00FB34F2"/>
    <w:rsid w:val="00FB3725"/>
    <w:rsid w:val="00FB3731"/>
    <w:rsid w:val="00FB39E5"/>
    <w:rsid w:val="00FB3BD2"/>
    <w:rsid w:val="00FB3EED"/>
    <w:rsid w:val="00FB3FA3"/>
    <w:rsid w:val="00FB4230"/>
    <w:rsid w:val="00FB47BE"/>
    <w:rsid w:val="00FB48CE"/>
    <w:rsid w:val="00FB4CC7"/>
    <w:rsid w:val="00FB57BD"/>
    <w:rsid w:val="00FB57FC"/>
    <w:rsid w:val="00FB5A1E"/>
    <w:rsid w:val="00FB5A8E"/>
    <w:rsid w:val="00FB60E1"/>
    <w:rsid w:val="00FB624D"/>
    <w:rsid w:val="00FB6458"/>
    <w:rsid w:val="00FB68CD"/>
    <w:rsid w:val="00FB6998"/>
    <w:rsid w:val="00FB6A78"/>
    <w:rsid w:val="00FB6EFF"/>
    <w:rsid w:val="00FB72E5"/>
    <w:rsid w:val="00FB76FE"/>
    <w:rsid w:val="00FB78BA"/>
    <w:rsid w:val="00FB7951"/>
    <w:rsid w:val="00FB7995"/>
    <w:rsid w:val="00FB79E3"/>
    <w:rsid w:val="00FB7DE6"/>
    <w:rsid w:val="00FB7F3D"/>
    <w:rsid w:val="00FB7FB3"/>
    <w:rsid w:val="00FC011F"/>
    <w:rsid w:val="00FC0134"/>
    <w:rsid w:val="00FC02A0"/>
    <w:rsid w:val="00FC092F"/>
    <w:rsid w:val="00FC0A82"/>
    <w:rsid w:val="00FC0BFE"/>
    <w:rsid w:val="00FC0F68"/>
    <w:rsid w:val="00FC10C7"/>
    <w:rsid w:val="00FC1304"/>
    <w:rsid w:val="00FC1408"/>
    <w:rsid w:val="00FC164D"/>
    <w:rsid w:val="00FC184C"/>
    <w:rsid w:val="00FC1B14"/>
    <w:rsid w:val="00FC20B8"/>
    <w:rsid w:val="00FC2346"/>
    <w:rsid w:val="00FC2464"/>
    <w:rsid w:val="00FC2549"/>
    <w:rsid w:val="00FC2B26"/>
    <w:rsid w:val="00FC2C2F"/>
    <w:rsid w:val="00FC2D51"/>
    <w:rsid w:val="00FC2EA3"/>
    <w:rsid w:val="00FC30DF"/>
    <w:rsid w:val="00FC3191"/>
    <w:rsid w:val="00FC3423"/>
    <w:rsid w:val="00FC3433"/>
    <w:rsid w:val="00FC3532"/>
    <w:rsid w:val="00FC3536"/>
    <w:rsid w:val="00FC35B8"/>
    <w:rsid w:val="00FC380A"/>
    <w:rsid w:val="00FC3831"/>
    <w:rsid w:val="00FC3ADC"/>
    <w:rsid w:val="00FC3C96"/>
    <w:rsid w:val="00FC3F93"/>
    <w:rsid w:val="00FC4028"/>
    <w:rsid w:val="00FC40FF"/>
    <w:rsid w:val="00FC42B8"/>
    <w:rsid w:val="00FC44BA"/>
    <w:rsid w:val="00FC452D"/>
    <w:rsid w:val="00FC45F6"/>
    <w:rsid w:val="00FC46B3"/>
    <w:rsid w:val="00FC47F7"/>
    <w:rsid w:val="00FC49AB"/>
    <w:rsid w:val="00FC4DD4"/>
    <w:rsid w:val="00FC4F49"/>
    <w:rsid w:val="00FC4FD6"/>
    <w:rsid w:val="00FC5019"/>
    <w:rsid w:val="00FC5042"/>
    <w:rsid w:val="00FC51AF"/>
    <w:rsid w:val="00FC51CE"/>
    <w:rsid w:val="00FC5298"/>
    <w:rsid w:val="00FC52AA"/>
    <w:rsid w:val="00FC5422"/>
    <w:rsid w:val="00FC582B"/>
    <w:rsid w:val="00FC589D"/>
    <w:rsid w:val="00FC592B"/>
    <w:rsid w:val="00FC5E11"/>
    <w:rsid w:val="00FC5E46"/>
    <w:rsid w:val="00FC5F82"/>
    <w:rsid w:val="00FC6194"/>
    <w:rsid w:val="00FC6504"/>
    <w:rsid w:val="00FC6523"/>
    <w:rsid w:val="00FC65A0"/>
    <w:rsid w:val="00FC67A7"/>
    <w:rsid w:val="00FC68A4"/>
    <w:rsid w:val="00FC68E6"/>
    <w:rsid w:val="00FC6C7C"/>
    <w:rsid w:val="00FC6CFF"/>
    <w:rsid w:val="00FC6F9F"/>
    <w:rsid w:val="00FC6FAE"/>
    <w:rsid w:val="00FC70B7"/>
    <w:rsid w:val="00FC7213"/>
    <w:rsid w:val="00FC745E"/>
    <w:rsid w:val="00FC748D"/>
    <w:rsid w:val="00FC7494"/>
    <w:rsid w:val="00FC76E9"/>
    <w:rsid w:val="00FC7A04"/>
    <w:rsid w:val="00FC7BAE"/>
    <w:rsid w:val="00FC7BF0"/>
    <w:rsid w:val="00FC7E54"/>
    <w:rsid w:val="00FC7FDD"/>
    <w:rsid w:val="00FD00EE"/>
    <w:rsid w:val="00FD0193"/>
    <w:rsid w:val="00FD0262"/>
    <w:rsid w:val="00FD0466"/>
    <w:rsid w:val="00FD08EB"/>
    <w:rsid w:val="00FD0936"/>
    <w:rsid w:val="00FD0F9F"/>
    <w:rsid w:val="00FD1195"/>
    <w:rsid w:val="00FD1199"/>
    <w:rsid w:val="00FD1277"/>
    <w:rsid w:val="00FD1354"/>
    <w:rsid w:val="00FD1804"/>
    <w:rsid w:val="00FD1A69"/>
    <w:rsid w:val="00FD1D1E"/>
    <w:rsid w:val="00FD1FD0"/>
    <w:rsid w:val="00FD20AC"/>
    <w:rsid w:val="00FD212F"/>
    <w:rsid w:val="00FD229A"/>
    <w:rsid w:val="00FD24AC"/>
    <w:rsid w:val="00FD26E4"/>
    <w:rsid w:val="00FD2784"/>
    <w:rsid w:val="00FD2842"/>
    <w:rsid w:val="00FD2B59"/>
    <w:rsid w:val="00FD2BC8"/>
    <w:rsid w:val="00FD3001"/>
    <w:rsid w:val="00FD302A"/>
    <w:rsid w:val="00FD324C"/>
    <w:rsid w:val="00FD32D0"/>
    <w:rsid w:val="00FD337F"/>
    <w:rsid w:val="00FD34FB"/>
    <w:rsid w:val="00FD3762"/>
    <w:rsid w:val="00FD37C2"/>
    <w:rsid w:val="00FD3847"/>
    <w:rsid w:val="00FD384B"/>
    <w:rsid w:val="00FD390D"/>
    <w:rsid w:val="00FD3B98"/>
    <w:rsid w:val="00FD3BBE"/>
    <w:rsid w:val="00FD3CAF"/>
    <w:rsid w:val="00FD428D"/>
    <w:rsid w:val="00FD45FF"/>
    <w:rsid w:val="00FD4618"/>
    <w:rsid w:val="00FD49AF"/>
    <w:rsid w:val="00FD4C20"/>
    <w:rsid w:val="00FD4CF3"/>
    <w:rsid w:val="00FD53BB"/>
    <w:rsid w:val="00FD5553"/>
    <w:rsid w:val="00FD58AF"/>
    <w:rsid w:val="00FD5954"/>
    <w:rsid w:val="00FD6038"/>
    <w:rsid w:val="00FD61B1"/>
    <w:rsid w:val="00FD632F"/>
    <w:rsid w:val="00FD644A"/>
    <w:rsid w:val="00FD668F"/>
    <w:rsid w:val="00FD67A7"/>
    <w:rsid w:val="00FD69B7"/>
    <w:rsid w:val="00FD6A59"/>
    <w:rsid w:val="00FD6B35"/>
    <w:rsid w:val="00FD6B9C"/>
    <w:rsid w:val="00FD6C87"/>
    <w:rsid w:val="00FD6C9B"/>
    <w:rsid w:val="00FD6CA4"/>
    <w:rsid w:val="00FD6EAC"/>
    <w:rsid w:val="00FD6FE3"/>
    <w:rsid w:val="00FD70BC"/>
    <w:rsid w:val="00FD714A"/>
    <w:rsid w:val="00FD731C"/>
    <w:rsid w:val="00FD738C"/>
    <w:rsid w:val="00FD7525"/>
    <w:rsid w:val="00FD7664"/>
    <w:rsid w:val="00FD7AA2"/>
    <w:rsid w:val="00FD7C4D"/>
    <w:rsid w:val="00FD7F7A"/>
    <w:rsid w:val="00FE00F0"/>
    <w:rsid w:val="00FE0196"/>
    <w:rsid w:val="00FE0351"/>
    <w:rsid w:val="00FE064F"/>
    <w:rsid w:val="00FE07A1"/>
    <w:rsid w:val="00FE0B52"/>
    <w:rsid w:val="00FE0B82"/>
    <w:rsid w:val="00FE0BE5"/>
    <w:rsid w:val="00FE0E11"/>
    <w:rsid w:val="00FE0E31"/>
    <w:rsid w:val="00FE0F66"/>
    <w:rsid w:val="00FE0FBF"/>
    <w:rsid w:val="00FE1154"/>
    <w:rsid w:val="00FE14B2"/>
    <w:rsid w:val="00FE14C5"/>
    <w:rsid w:val="00FE1668"/>
    <w:rsid w:val="00FE16D3"/>
    <w:rsid w:val="00FE175C"/>
    <w:rsid w:val="00FE17C6"/>
    <w:rsid w:val="00FE1AF4"/>
    <w:rsid w:val="00FE1C1F"/>
    <w:rsid w:val="00FE1DF5"/>
    <w:rsid w:val="00FE1EF1"/>
    <w:rsid w:val="00FE1F38"/>
    <w:rsid w:val="00FE213E"/>
    <w:rsid w:val="00FE21DB"/>
    <w:rsid w:val="00FE2231"/>
    <w:rsid w:val="00FE23AF"/>
    <w:rsid w:val="00FE23E3"/>
    <w:rsid w:val="00FE2407"/>
    <w:rsid w:val="00FE24BA"/>
    <w:rsid w:val="00FE2590"/>
    <w:rsid w:val="00FE27FF"/>
    <w:rsid w:val="00FE28DB"/>
    <w:rsid w:val="00FE2A4A"/>
    <w:rsid w:val="00FE2A80"/>
    <w:rsid w:val="00FE2CFE"/>
    <w:rsid w:val="00FE302E"/>
    <w:rsid w:val="00FE30AD"/>
    <w:rsid w:val="00FE3200"/>
    <w:rsid w:val="00FE320E"/>
    <w:rsid w:val="00FE326C"/>
    <w:rsid w:val="00FE328C"/>
    <w:rsid w:val="00FE3445"/>
    <w:rsid w:val="00FE34D3"/>
    <w:rsid w:val="00FE3590"/>
    <w:rsid w:val="00FE396A"/>
    <w:rsid w:val="00FE3B01"/>
    <w:rsid w:val="00FE3BF4"/>
    <w:rsid w:val="00FE3DDC"/>
    <w:rsid w:val="00FE3EBE"/>
    <w:rsid w:val="00FE3F3F"/>
    <w:rsid w:val="00FE3F56"/>
    <w:rsid w:val="00FE4108"/>
    <w:rsid w:val="00FE41C8"/>
    <w:rsid w:val="00FE43AC"/>
    <w:rsid w:val="00FE4563"/>
    <w:rsid w:val="00FE46F0"/>
    <w:rsid w:val="00FE4794"/>
    <w:rsid w:val="00FE4959"/>
    <w:rsid w:val="00FE4B6C"/>
    <w:rsid w:val="00FE4BF4"/>
    <w:rsid w:val="00FE4D5F"/>
    <w:rsid w:val="00FE4EB0"/>
    <w:rsid w:val="00FE515C"/>
    <w:rsid w:val="00FE51C9"/>
    <w:rsid w:val="00FE5B1C"/>
    <w:rsid w:val="00FE5EEF"/>
    <w:rsid w:val="00FE6294"/>
    <w:rsid w:val="00FE6375"/>
    <w:rsid w:val="00FE6555"/>
    <w:rsid w:val="00FE6BC2"/>
    <w:rsid w:val="00FE6D25"/>
    <w:rsid w:val="00FE6DBE"/>
    <w:rsid w:val="00FE6EEA"/>
    <w:rsid w:val="00FE7175"/>
    <w:rsid w:val="00FE72BE"/>
    <w:rsid w:val="00FE7423"/>
    <w:rsid w:val="00FE7864"/>
    <w:rsid w:val="00FE79E9"/>
    <w:rsid w:val="00FE7AAF"/>
    <w:rsid w:val="00FE7BB4"/>
    <w:rsid w:val="00FE7C08"/>
    <w:rsid w:val="00FE7D36"/>
    <w:rsid w:val="00FE7DB4"/>
    <w:rsid w:val="00FF03DE"/>
    <w:rsid w:val="00FF04B3"/>
    <w:rsid w:val="00FF0593"/>
    <w:rsid w:val="00FF0694"/>
    <w:rsid w:val="00FF07F1"/>
    <w:rsid w:val="00FF0869"/>
    <w:rsid w:val="00FF088D"/>
    <w:rsid w:val="00FF0956"/>
    <w:rsid w:val="00FF099F"/>
    <w:rsid w:val="00FF0A07"/>
    <w:rsid w:val="00FF0AB3"/>
    <w:rsid w:val="00FF0AD7"/>
    <w:rsid w:val="00FF0B26"/>
    <w:rsid w:val="00FF0BB5"/>
    <w:rsid w:val="00FF0FD4"/>
    <w:rsid w:val="00FF10F9"/>
    <w:rsid w:val="00FF1236"/>
    <w:rsid w:val="00FF1672"/>
    <w:rsid w:val="00FF179F"/>
    <w:rsid w:val="00FF19CC"/>
    <w:rsid w:val="00FF1BFD"/>
    <w:rsid w:val="00FF1D57"/>
    <w:rsid w:val="00FF2037"/>
    <w:rsid w:val="00FF21A7"/>
    <w:rsid w:val="00FF21FC"/>
    <w:rsid w:val="00FF223A"/>
    <w:rsid w:val="00FF232C"/>
    <w:rsid w:val="00FF23DC"/>
    <w:rsid w:val="00FF29DB"/>
    <w:rsid w:val="00FF2AB5"/>
    <w:rsid w:val="00FF2C0C"/>
    <w:rsid w:val="00FF2E8F"/>
    <w:rsid w:val="00FF2EC8"/>
    <w:rsid w:val="00FF309D"/>
    <w:rsid w:val="00FF3108"/>
    <w:rsid w:val="00FF3245"/>
    <w:rsid w:val="00FF335F"/>
    <w:rsid w:val="00FF3495"/>
    <w:rsid w:val="00FF356B"/>
    <w:rsid w:val="00FF3D4C"/>
    <w:rsid w:val="00FF3F05"/>
    <w:rsid w:val="00FF3F31"/>
    <w:rsid w:val="00FF4057"/>
    <w:rsid w:val="00FF424D"/>
    <w:rsid w:val="00FF4562"/>
    <w:rsid w:val="00FF45DD"/>
    <w:rsid w:val="00FF4766"/>
    <w:rsid w:val="00FF4919"/>
    <w:rsid w:val="00FF4BFD"/>
    <w:rsid w:val="00FF4C01"/>
    <w:rsid w:val="00FF4CFA"/>
    <w:rsid w:val="00FF4E82"/>
    <w:rsid w:val="00FF518D"/>
    <w:rsid w:val="00FF525D"/>
    <w:rsid w:val="00FF52A9"/>
    <w:rsid w:val="00FF554A"/>
    <w:rsid w:val="00FF5571"/>
    <w:rsid w:val="00FF562C"/>
    <w:rsid w:val="00FF5779"/>
    <w:rsid w:val="00FF5A87"/>
    <w:rsid w:val="00FF5BEF"/>
    <w:rsid w:val="00FF60DD"/>
    <w:rsid w:val="00FF610C"/>
    <w:rsid w:val="00FF6192"/>
    <w:rsid w:val="00FF62BA"/>
    <w:rsid w:val="00FF637A"/>
    <w:rsid w:val="00FF6524"/>
    <w:rsid w:val="00FF6579"/>
    <w:rsid w:val="00FF6655"/>
    <w:rsid w:val="00FF6929"/>
    <w:rsid w:val="00FF6B5A"/>
    <w:rsid w:val="00FF6C77"/>
    <w:rsid w:val="00FF6DB0"/>
    <w:rsid w:val="00FF6F07"/>
    <w:rsid w:val="00FF71A4"/>
    <w:rsid w:val="00FF736E"/>
    <w:rsid w:val="00FF75E8"/>
    <w:rsid w:val="00FF7764"/>
    <w:rsid w:val="00FF7BE9"/>
    <w:rsid w:val="00FF7CB7"/>
    <w:rsid w:val="00FF7DC2"/>
    <w:rsid w:val="00FF7E2E"/>
    <w:rsid w:val="0133C0D1"/>
    <w:rsid w:val="01354D8B"/>
    <w:rsid w:val="0139230A"/>
    <w:rsid w:val="01484090"/>
    <w:rsid w:val="01525788"/>
    <w:rsid w:val="0184D5D2"/>
    <w:rsid w:val="018BEEEB"/>
    <w:rsid w:val="018EAA9A"/>
    <w:rsid w:val="018FA58A"/>
    <w:rsid w:val="019E0803"/>
    <w:rsid w:val="01BAD084"/>
    <w:rsid w:val="01E55200"/>
    <w:rsid w:val="01FF3D1B"/>
    <w:rsid w:val="02046D69"/>
    <w:rsid w:val="02136E0C"/>
    <w:rsid w:val="022E9C92"/>
    <w:rsid w:val="02545639"/>
    <w:rsid w:val="0256FA2B"/>
    <w:rsid w:val="026CD080"/>
    <w:rsid w:val="02700964"/>
    <w:rsid w:val="0275F7B8"/>
    <w:rsid w:val="0299C812"/>
    <w:rsid w:val="02ACA846"/>
    <w:rsid w:val="02B2CE32"/>
    <w:rsid w:val="02BAAA70"/>
    <w:rsid w:val="02BB7372"/>
    <w:rsid w:val="02C5DE52"/>
    <w:rsid w:val="02CC6B6C"/>
    <w:rsid w:val="02D23FD2"/>
    <w:rsid w:val="02EC1C38"/>
    <w:rsid w:val="02F089F1"/>
    <w:rsid w:val="02F19746"/>
    <w:rsid w:val="03097A6B"/>
    <w:rsid w:val="030CFB86"/>
    <w:rsid w:val="03191F24"/>
    <w:rsid w:val="031FFA23"/>
    <w:rsid w:val="0325EF3F"/>
    <w:rsid w:val="0338F2C6"/>
    <w:rsid w:val="034D86B8"/>
    <w:rsid w:val="036F5935"/>
    <w:rsid w:val="037CF61B"/>
    <w:rsid w:val="03A2C0EB"/>
    <w:rsid w:val="03B0DA3F"/>
    <w:rsid w:val="03BDFAA6"/>
    <w:rsid w:val="03F89F35"/>
    <w:rsid w:val="0410A38F"/>
    <w:rsid w:val="04150469"/>
    <w:rsid w:val="041D4D50"/>
    <w:rsid w:val="04287510"/>
    <w:rsid w:val="0435705C"/>
    <w:rsid w:val="044A4071"/>
    <w:rsid w:val="04547F68"/>
    <w:rsid w:val="045BD0A7"/>
    <w:rsid w:val="047CBD7E"/>
    <w:rsid w:val="04858B95"/>
    <w:rsid w:val="048D3C61"/>
    <w:rsid w:val="04974951"/>
    <w:rsid w:val="04D0E2F7"/>
    <w:rsid w:val="04E6B3C3"/>
    <w:rsid w:val="04ED9FA6"/>
    <w:rsid w:val="04FB31D0"/>
    <w:rsid w:val="04FD7D61"/>
    <w:rsid w:val="050C5B49"/>
    <w:rsid w:val="051DA5E4"/>
    <w:rsid w:val="0545D817"/>
    <w:rsid w:val="05849F22"/>
    <w:rsid w:val="0589DAE7"/>
    <w:rsid w:val="058B55E6"/>
    <w:rsid w:val="05B0A7D6"/>
    <w:rsid w:val="05BCFEF4"/>
    <w:rsid w:val="05BEFD28"/>
    <w:rsid w:val="05C7CFB5"/>
    <w:rsid w:val="05DE61FE"/>
    <w:rsid w:val="0607B909"/>
    <w:rsid w:val="0622816C"/>
    <w:rsid w:val="06344F50"/>
    <w:rsid w:val="0644B4A1"/>
    <w:rsid w:val="064948E4"/>
    <w:rsid w:val="0655C0A5"/>
    <w:rsid w:val="0656A7B1"/>
    <w:rsid w:val="0679B820"/>
    <w:rsid w:val="068D0E43"/>
    <w:rsid w:val="06A3BD75"/>
    <w:rsid w:val="06A97F59"/>
    <w:rsid w:val="06B81C21"/>
    <w:rsid w:val="06B91E1D"/>
    <w:rsid w:val="06BA6569"/>
    <w:rsid w:val="06C7AA2B"/>
    <w:rsid w:val="06DAC664"/>
    <w:rsid w:val="06E85DD6"/>
    <w:rsid w:val="06FF8180"/>
    <w:rsid w:val="0770CA75"/>
    <w:rsid w:val="0784318F"/>
    <w:rsid w:val="07888C27"/>
    <w:rsid w:val="0788B205"/>
    <w:rsid w:val="07990605"/>
    <w:rsid w:val="07A8CF37"/>
    <w:rsid w:val="07AC3CBA"/>
    <w:rsid w:val="07B13353"/>
    <w:rsid w:val="07BDBEA9"/>
    <w:rsid w:val="07C9A61F"/>
    <w:rsid w:val="07EFE9E7"/>
    <w:rsid w:val="08059D54"/>
    <w:rsid w:val="081327D9"/>
    <w:rsid w:val="0818CA5A"/>
    <w:rsid w:val="081DF892"/>
    <w:rsid w:val="083C5185"/>
    <w:rsid w:val="083E4C8C"/>
    <w:rsid w:val="08412E69"/>
    <w:rsid w:val="0841D76B"/>
    <w:rsid w:val="08446F96"/>
    <w:rsid w:val="0855BE44"/>
    <w:rsid w:val="085A1D2B"/>
    <w:rsid w:val="087677D5"/>
    <w:rsid w:val="088512A3"/>
    <w:rsid w:val="088F9E28"/>
    <w:rsid w:val="08D089A1"/>
    <w:rsid w:val="08E5C455"/>
    <w:rsid w:val="08EB1099"/>
    <w:rsid w:val="08FDDE80"/>
    <w:rsid w:val="0984445F"/>
    <w:rsid w:val="098C358A"/>
    <w:rsid w:val="09A492A0"/>
    <w:rsid w:val="09A96CEE"/>
    <w:rsid w:val="09AB252B"/>
    <w:rsid w:val="09BA3FEF"/>
    <w:rsid w:val="09F86CB6"/>
    <w:rsid w:val="09FF174A"/>
    <w:rsid w:val="0A0692D5"/>
    <w:rsid w:val="0A398615"/>
    <w:rsid w:val="0A417F74"/>
    <w:rsid w:val="0A57A002"/>
    <w:rsid w:val="0A79A356"/>
    <w:rsid w:val="0A8129DA"/>
    <w:rsid w:val="0A8173F5"/>
    <w:rsid w:val="0A8C7823"/>
    <w:rsid w:val="0A942D33"/>
    <w:rsid w:val="0A9BAF66"/>
    <w:rsid w:val="0AA20729"/>
    <w:rsid w:val="0AA7C121"/>
    <w:rsid w:val="0AAB2A7A"/>
    <w:rsid w:val="0AD51DEC"/>
    <w:rsid w:val="0AE0725D"/>
    <w:rsid w:val="0AE7A164"/>
    <w:rsid w:val="0AF437AC"/>
    <w:rsid w:val="0AFDFEA6"/>
    <w:rsid w:val="0B0427E9"/>
    <w:rsid w:val="0B0C5AB2"/>
    <w:rsid w:val="0B10597C"/>
    <w:rsid w:val="0B115AAE"/>
    <w:rsid w:val="0B1618D1"/>
    <w:rsid w:val="0B1DB453"/>
    <w:rsid w:val="0B270240"/>
    <w:rsid w:val="0B31FC26"/>
    <w:rsid w:val="0B4F018D"/>
    <w:rsid w:val="0B5A44B1"/>
    <w:rsid w:val="0B65C9D5"/>
    <w:rsid w:val="0B7A2A09"/>
    <w:rsid w:val="0B86CAED"/>
    <w:rsid w:val="0BAA70DA"/>
    <w:rsid w:val="0BB494FE"/>
    <w:rsid w:val="0BB5E12D"/>
    <w:rsid w:val="0BB924C0"/>
    <w:rsid w:val="0BB9BD7B"/>
    <w:rsid w:val="0BD20BED"/>
    <w:rsid w:val="0BE932E2"/>
    <w:rsid w:val="0BEFFBAA"/>
    <w:rsid w:val="0BF0A17C"/>
    <w:rsid w:val="0BFDEE0E"/>
    <w:rsid w:val="0C0C1D82"/>
    <w:rsid w:val="0C140E2F"/>
    <w:rsid w:val="0C1C8F5D"/>
    <w:rsid w:val="0C2E6BFC"/>
    <w:rsid w:val="0C324A18"/>
    <w:rsid w:val="0C43EB1E"/>
    <w:rsid w:val="0C5B6AE4"/>
    <w:rsid w:val="0C7F0D24"/>
    <w:rsid w:val="0CA0C57E"/>
    <w:rsid w:val="0CA24640"/>
    <w:rsid w:val="0CA8D001"/>
    <w:rsid w:val="0CD7E820"/>
    <w:rsid w:val="0CD84E51"/>
    <w:rsid w:val="0D11E209"/>
    <w:rsid w:val="0D252709"/>
    <w:rsid w:val="0D2529E7"/>
    <w:rsid w:val="0D3B8275"/>
    <w:rsid w:val="0D5AD096"/>
    <w:rsid w:val="0D5DD2CC"/>
    <w:rsid w:val="0D92DC65"/>
    <w:rsid w:val="0DA6345F"/>
    <w:rsid w:val="0DD02619"/>
    <w:rsid w:val="0DD13C9B"/>
    <w:rsid w:val="0DE9A2FF"/>
    <w:rsid w:val="0DFF9FC3"/>
    <w:rsid w:val="0E2D0148"/>
    <w:rsid w:val="0E38BABA"/>
    <w:rsid w:val="0E43CF2A"/>
    <w:rsid w:val="0E63210A"/>
    <w:rsid w:val="0E6E99CA"/>
    <w:rsid w:val="0E7F2A3C"/>
    <w:rsid w:val="0EB5F950"/>
    <w:rsid w:val="0EC14848"/>
    <w:rsid w:val="0ED5296F"/>
    <w:rsid w:val="0F12EF26"/>
    <w:rsid w:val="0F13375A"/>
    <w:rsid w:val="0F1977B9"/>
    <w:rsid w:val="0F3436AF"/>
    <w:rsid w:val="0F4A0B8F"/>
    <w:rsid w:val="0F56FB15"/>
    <w:rsid w:val="0F596D92"/>
    <w:rsid w:val="0F5B6B07"/>
    <w:rsid w:val="0F6D3E23"/>
    <w:rsid w:val="0F87CAD1"/>
    <w:rsid w:val="0F915AB3"/>
    <w:rsid w:val="0F945C7E"/>
    <w:rsid w:val="0F9F182E"/>
    <w:rsid w:val="0FABDADC"/>
    <w:rsid w:val="0FD1C05B"/>
    <w:rsid w:val="0FD7A3D2"/>
    <w:rsid w:val="0FD7AEB6"/>
    <w:rsid w:val="0FF23E73"/>
    <w:rsid w:val="0FFC4AA2"/>
    <w:rsid w:val="10251FCC"/>
    <w:rsid w:val="10336B0B"/>
    <w:rsid w:val="10794D03"/>
    <w:rsid w:val="1088CE17"/>
    <w:rsid w:val="10AFBF4E"/>
    <w:rsid w:val="10B266A5"/>
    <w:rsid w:val="10EA1890"/>
    <w:rsid w:val="10F5418C"/>
    <w:rsid w:val="111516F7"/>
    <w:rsid w:val="111B0AA0"/>
    <w:rsid w:val="113A9889"/>
    <w:rsid w:val="115672B0"/>
    <w:rsid w:val="115F03E8"/>
    <w:rsid w:val="11714B24"/>
    <w:rsid w:val="11845D2B"/>
    <w:rsid w:val="119E0337"/>
    <w:rsid w:val="11C4ACA9"/>
    <w:rsid w:val="11D30C28"/>
    <w:rsid w:val="11DBD935"/>
    <w:rsid w:val="122FDAEC"/>
    <w:rsid w:val="1236FBF2"/>
    <w:rsid w:val="124295BB"/>
    <w:rsid w:val="124318A5"/>
    <w:rsid w:val="12CEC625"/>
    <w:rsid w:val="12E4870D"/>
    <w:rsid w:val="12E8F399"/>
    <w:rsid w:val="12EB5D73"/>
    <w:rsid w:val="130E0B7E"/>
    <w:rsid w:val="1322A2E3"/>
    <w:rsid w:val="1323AF28"/>
    <w:rsid w:val="132784C6"/>
    <w:rsid w:val="132A937C"/>
    <w:rsid w:val="13349C3A"/>
    <w:rsid w:val="134CC5B1"/>
    <w:rsid w:val="1368FADE"/>
    <w:rsid w:val="138337B3"/>
    <w:rsid w:val="13A59995"/>
    <w:rsid w:val="13B1B943"/>
    <w:rsid w:val="1406E9DB"/>
    <w:rsid w:val="1439A709"/>
    <w:rsid w:val="14746CA6"/>
    <w:rsid w:val="1499EFC6"/>
    <w:rsid w:val="14BEF3D7"/>
    <w:rsid w:val="1503457E"/>
    <w:rsid w:val="150DD148"/>
    <w:rsid w:val="15182547"/>
    <w:rsid w:val="151830F7"/>
    <w:rsid w:val="15228EFA"/>
    <w:rsid w:val="1528C4E6"/>
    <w:rsid w:val="1536BAA9"/>
    <w:rsid w:val="1549DF6B"/>
    <w:rsid w:val="154C4A3A"/>
    <w:rsid w:val="1553658A"/>
    <w:rsid w:val="155AD8BC"/>
    <w:rsid w:val="1568BECE"/>
    <w:rsid w:val="156ED914"/>
    <w:rsid w:val="15703A58"/>
    <w:rsid w:val="158A149D"/>
    <w:rsid w:val="1598EA6C"/>
    <w:rsid w:val="15A3F50A"/>
    <w:rsid w:val="15AE32B8"/>
    <w:rsid w:val="15E09074"/>
    <w:rsid w:val="15F364A1"/>
    <w:rsid w:val="15F54C16"/>
    <w:rsid w:val="16053912"/>
    <w:rsid w:val="160894E1"/>
    <w:rsid w:val="160D7C70"/>
    <w:rsid w:val="1610CA12"/>
    <w:rsid w:val="1616E716"/>
    <w:rsid w:val="162D5FBB"/>
    <w:rsid w:val="162FE10E"/>
    <w:rsid w:val="1647ABB0"/>
    <w:rsid w:val="16529053"/>
    <w:rsid w:val="166AC38E"/>
    <w:rsid w:val="1680886B"/>
    <w:rsid w:val="16858055"/>
    <w:rsid w:val="16ACC237"/>
    <w:rsid w:val="16BEF7E6"/>
    <w:rsid w:val="16C562DF"/>
    <w:rsid w:val="16C8FD6C"/>
    <w:rsid w:val="16CCA102"/>
    <w:rsid w:val="16D099F1"/>
    <w:rsid w:val="16E4AC53"/>
    <w:rsid w:val="16EE212F"/>
    <w:rsid w:val="171FC1B1"/>
    <w:rsid w:val="1720D90E"/>
    <w:rsid w:val="1756CEB8"/>
    <w:rsid w:val="17707B20"/>
    <w:rsid w:val="178B3AAD"/>
    <w:rsid w:val="1799661D"/>
    <w:rsid w:val="179C3D43"/>
    <w:rsid w:val="17A32498"/>
    <w:rsid w:val="17C7E2BF"/>
    <w:rsid w:val="17CE1EC4"/>
    <w:rsid w:val="17D4C44B"/>
    <w:rsid w:val="17D55607"/>
    <w:rsid w:val="17D7F333"/>
    <w:rsid w:val="17E11208"/>
    <w:rsid w:val="1829F00C"/>
    <w:rsid w:val="18316234"/>
    <w:rsid w:val="1839C96C"/>
    <w:rsid w:val="184862E2"/>
    <w:rsid w:val="184B18C1"/>
    <w:rsid w:val="185A35CC"/>
    <w:rsid w:val="1887E26D"/>
    <w:rsid w:val="18912C37"/>
    <w:rsid w:val="18C0017B"/>
    <w:rsid w:val="18CBA501"/>
    <w:rsid w:val="18CFB724"/>
    <w:rsid w:val="18DD9106"/>
    <w:rsid w:val="18EBD9F7"/>
    <w:rsid w:val="18EE8032"/>
    <w:rsid w:val="18F37A02"/>
    <w:rsid w:val="1904E524"/>
    <w:rsid w:val="19087866"/>
    <w:rsid w:val="191FCCD1"/>
    <w:rsid w:val="192C99F5"/>
    <w:rsid w:val="1937BFF4"/>
    <w:rsid w:val="19484BC8"/>
    <w:rsid w:val="1953A169"/>
    <w:rsid w:val="1978DBEE"/>
    <w:rsid w:val="197FC71A"/>
    <w:rsid w:val="198AE3B1"/>
    <w:rsid w:val="199A698D"/>
    <w:rsid w:val="199F1096"/>
    <w:rsid w:val="19B75665"/>
    <w:rsid w:val="19E457DD"/>
    <w:rsid w:val="19FE2BFB"/>
    <w:rsid w:val="1A0684FE"/>
    <w:rsid w:val="1A0B5FA2"/>
    <w:rsid w:val="1A18AC92"/>
    <w:rsid w:val="1A19F919"/>
    <w:rsid w:val="1A26F5F7"/>
    <w:rsid w:val="1A42A56D"/>
    <w:rsid w:val="1A4C6406"/>
    <w:rsid w:val="1A7285A0"/>
    <w:rsid w:val="1A76F7A1"/>
    <w:rsid w:val="1A790B93"/>
    <w:rsid w:val="1A911F24"/>
    <w:rsid w:val="1A9A1825"/>
    <w:rsid w:val="1AB6815E"/>
    <w:rsid w:val="1ADB8258"/>
    <w:rsid w:val="1ADE6564"/>
    <w:rsid w:val="1ADFF193"/>
    <w:rsid w:val="1B2C02C3"/>
    <w:rsid w:val="1B2E3D70"/>
    <w:rsid w:val="1B3346CE"/>
    <w:rsid w:val="1B33B1F0"/>
    <w:rsid w:val="1B3CC137"/>
    <w:rsid w:val="1B575A9E"/>
    <w:rsid w:val="1B5E529A"/>
    <w:rsid w:val="1B602723"/>
    <w:rsid w:val="1B648C49"/>
    <w:rsid w:val="1BA5B4B4"/>
    <w:rsid w:val="1BBBFEB3"/>
    <w:rsid w:val="1BCE11F8"/>
    <w:rsid w:val="1BD74838"/>
    <w:rsid w:val="1BF89D31"/>
    <w:rsid w:val="1C1F751A"/>
    <w:rsid w:val="1C208CF5"/>
    <w:rsid w:val="1C4EC2D7"/>
    <w:rsid w:val="1C5E7B59"/>
    <w:rsid w:val="1C6600C5"/>
    <w:rsid w:val="1C6C44F1"/>
    <w:rsid w:val="1C901E87"/>
    <w:rsid w:val="1C9A1E8C"/>
    <w:rsid w:val="1CA21DA7"/>
    <w:rsid w:val="1CA22DF7"/>
    <w:rsid w:val="1CCABE98"/>
    <w:rsid w:val="1CCB5661"/>
    <w:rsid w:val="1CE022D3"/>
    <w:rsid w:val="1CE1D49C"/>
    <w:rsid w:val="1CF0E71E"/>
    <w:rsid w:val="1CFD6FE7"/>
    <w:rsid w:val="1D0FB299"/>
    <w:rsid w:val="1D1191E8"/>
    <w:rsid w:val="1D13A2F1"/>
    <w:rsid w:val="1D34FBA2"/>
    <w:rsid w:val="1D504865"/>
    <w:rsid w:val="1D5761F5"/>
    <w:rsid w:val="1D926C92"/>
    <w:rsid w:val="1D98B1BB"/>
    <w:rsid w:val="1D9F0688"/>
    <w:rsid w:val="1DADB56C"/>
    <w:rsid w:val="1DB6F4D2"/>
    <w:rsid w:val="1DD78E44"/>
    <w:rsid w:val="1DDB4CAC"/>
    <w:rsid w:val="1DDC9862"/>
    <w:rsid w:val="1DFA5F83"/>
    <w:rsid w:val="1E3B8ACC"/>
    <w:rsid w:val="1E7E8B35"/>
    <w:rsid w:val="1E8F011B"/>
    <w:rsid w:val="1EA3B69D"/>
    <w:rsid w:val="1EA842DE"/>
    <w:rsid w:val="1EB854A2"/>
    <w:rsid w:val="1EBDE534"/>
    <w:rsid w:val="1EC6CFF3"/>
    <w:rsid w:val="1F442E64"/>
    <w:rsid w:val="1F524C95"/>
    <w:rsid w:val="1F55953E"/>
    <w:rsid w:val="1F5C2D2A"/>
    <w:rsid w:val="1F7C0CBC"/>
    <w:rsid w:val="1F7F12EC"/>
    <w:rsid w:val="1F971008"/>
    <w:rsid w:val="1F977216"/>
    <w:rsid w:val="1F97B6D5"/>
    <w:rsid w:val="1F9F29BB"/>
    <w:rsid w:val="1F9F7ECF"/>
    <w:rsid w:val="1FC19453"/>
    <w:rsid w:val="1FD63D02"/>
    <w:rsid w:val="1FD8EC32"/>
    <w:rsid w:val="1FF0458A"/>
    <w:rsid w:val="200046D6"/>
    <w:rsid w:val="20149CFA"/>
    <w:rsid w:val="202A91D3"/>
    <w:rsid w:val="20546F62"/>
    <w:rsid w:val="207120E6"/>
    <w:rsid w:val="20A48553"/>
    <w:rsid w:val="20AE2CBC"/>
    <w:rsid w:val="20B287A8"/>
    <w:rsid w:val="20BCA661"/>
    <w:rsid w:val="20C49ECB"/>
    <w:rsid w:val="20D342D9"/>
    <w:rsid w:val="20E3B77A"/>
    <w:rsid w:val="20E73B81"/>
    <w:rsid w:val="20ECA01D"/>
    <w:rsid w:val="20F5D65D"/>
    <w:rsid w:val="20F7CC96"/>
    <w:rsid w:val="210B725F"/>
    <w:rsid w:val="21280340"/>
    <w:rsid w:val="21292094"/>
    <w:rsid w:val="212EAA56"/>
    <w:rsid w:val="21320556"/>
    <w:rsid w:val="21460CA7"/>
    <w:rsid w:val="2146B03A"/>
    <w:rsid w:val="2158C7B6"/>
    <w:rsid w:val="2165227F"/>
    <w:rsid w:val="2166613D"/>
    <w:rsid w:val="216D4EB9"/>
    <w:rsid w:val="2176E7FA"/>
    <w:rsid w:val="217EE41B"/>
    <w:rsid w:val="217F3053"/>
    <w:rsid w:val="2197CC35"/>
    <w:rsid w:val="21A7C607"/>
    <w:rsid w:val="21BAE0CB"/>
    <w:rsid w:val="21D0B3CC"/>
    <w:rsid w:val="21DA014C"/>
    <w:rsid w:val="21DC0A85"/>
    <w:rsid w:val="21EBCF9F"/>
    <w:rsid w:val="2213E2D0"/>
    <w:rsid w:val="222FAD9A"/>
    <w:rsid w:val="222FADA8"/>
    <w:rsid w:val="22312A8C"/>
    <w:rsid w:val="22467956"/>
    <w:rsid w:val="2246F8C3"/>
    <w:rsid w:val="228344FE"/>
    <w:rsid w:val="22A49DAF"/>
    <w:rsid w:val="22B16E6C"/>
    <w:rsid w:val="22B59DC1"/>
    <w:rsid w:val="22CDCD63"/>
    <w:rsid w:val="22E3AFAA"/>
    <w:rsid w:val="22E6511B"/>
    <w:rsid w:val="22E9740A"/>
    <w:rsid w:val="22EE1CF9"/>
    <w:rsid w:val="22FDC347"/>
    <w:rsid w:val="23111127"/>
    <w:rsid w:val="2327E2C9"/>
    <w:rsid w:val="232B0342"/>
    <w:rsid w:val="232DA08A"/>
    <w:rsid w:val="23437900"/>
    <w:rsid w:val="235E6E30"/>
    <w:rsid w:val="236EE2F1"/>
    <w:rsid w:val="238762FA"/>
    <w:rsid w:val="2394C368"/>
    <w:rsid w:val="23AF1520"/>
    <w:rsid w:val="23BA126A"/>
    <w:rsid w:val="23BEB490"/>
    <w:rsid w:val="23CDB115"/>
    <w:rsid w:val="23ECD96A"/>
    <w:rsid w:val="240AE2A4"/>
    <w:rsid w:val="2410F8F4"/>
    <w:rsid w:val="243899C2"/>
    <w:rsid w:val="24726705"/>
    <w:rsid w:val="24AB55A3"/>
    <w:rsid w:val="24BB4A76"/>
    <w:rsid w:val="24ECF9DD"/>
    <w:rsid w:val="2532395D"/>
    <w:rsid w:val="253AFB10"/>
    <w:rsid w:val="2592D941"/>
    <w:rsid w:val="259AB423"/>
    <w:rsid w:val="25C6968E"/>
    <w:rsid w:val="25DD2F20"/>
    <w:rsid w:val="26190625"/>
    <w:rsid w:val="2622B8D0"/>
    <w:rsid w:val="263360B4"/>
    <w:rsid w:val="26348565"/>
    <w:rsid w:val="263B6C79"/>
    <w:rsid w:val="2653C5AE"/>
    <w:rsid w:val="26612946"/>
    <w:rsid w:val="26726143"/>
    <w:rsid w:val="268D00FA"/>
    <w:rsid w:val="269A72E9"/>
    <w:rsid w:val="26A02A9C"/>
    <w:rsid w:val="26A7EDF0"/>
    <w:rsid w:val="26C102FB"/>
    <w:rsid w:val="26CDDF68"/>
    <w:rsid w:val="26DA4768"/>
    <w:rsid w:val="272C1120"/>
    <w:rsid w:val="272DC82F"/>
    <w:rsid w:val="2778731C"/>
    <w:rsid w:val="2781681A"/>
    <w:rsid w:val="2786BD44"/>
    <w:rsid w:val="27938853"/>
    <w:rsid w:val="2795F8A0"/>
    <w:rsid w:val="27A1DA7F"/>
    <w:rsid w:val="27AA1308"/>
    <w:rsid w:val="27BE5AA0"/>
    <w:rsid w:val="27C9054F"/>
    <w:rsid w:val="27F504EE"/>
    <w:rsid w:val="27FA1941"/>
    <w:rsid w:val="281C9847"/>
    <w:rsid w:val="284D363D"/>
    <w:rsid w:val="28544B92"/>
    <w:rsid w:val="28573180"/>
    <w:rsid w:val="286004DC"/>
    <w:rsid w:val="286E0B26"/>
    <w:rsid w:val="28AD51BA"/>
    <w:rsid w:val="28B676CD"/>
    <w:rsid w:val="293FE830"/>
    <w:rsid w:val="2940AB0C"/>
    <w:rsid w:val="294F2521"/>
    <w:rsid w:val="2950A55F"/>
    <w:rsid w:val="2956160F"/>
    <w:rsid w:val="29594129"/>
    <w:rsid w:val="29718418"/>
    <w:rsid w:val="297932D6"/>
    <w:rsid w:val="298375D2"/>
    <w:rsid w:val="29A99FC1"/>
    <w:rsid w:val="29BC0B84"/>
    <w:rsid w:val="29D1733E"/>
    <w:rsid w:val="29E57F7F"/>
    <w:rsid w:val="29EFA3AC"/>
    <w:rsid w:val="2A36934C"/>
    <w:rsid w:val="2A369D33"/>
    <w:rsid w:val="2A4693E6"/>
    <w:rsid w:val="2A4FF3D1"/>
    <w:rsid w:val="2A5B5FB9"/>
    <w:rsid w:val="2A691BA7"/>
    <w:rsid w:val="2A802CAE"/>
    <w:rsid w:val="2A845403"/>
    <w:rsid w:val="2A9EDEA5"/>
    <w:rsid w:val="2AA3478F"/>
    <w:rsid w:val="2AAFC201"/>
    <w:rsid w:val="2AAFCDEC"/>
    <w:rsid w:val="2ABE2BBE"/>
    <w:rsid w:val="2AEBD21E"/>
    <w:rsid w:val="2AEBE575"/>
    <w:rsid w:val="2AEFEB28"/>
    <w:rsid w:val="2AFC7E84"/>
    <w:rsid w:val="2B0599DA"/>
    <w:rsid w:val="2B2330E7"/>
    <w:rsid w:val="2B5030BF"/>
    <w:rsid w:val="2B75C2AA"/>
    <w:rsid w:val="2B77F67B"/>
    <w:rsid w:val="2B7A1300"/>
    <w:rsid w:val="2B7BC88A"/>
    <w:rsid w:val="2BF1D970"/>
    <w:rsid w:val="2C0970D4"/>
    <w:rsid w:val="2C1D8996"/>
    <w:rsid w:val="2C2E979F"/>
    <w:rsid w:val="2C37E6B3"/>
    <w:rsid w:val="2C38FC9B"/>
    <w:rsid w:val="2C910471"/>
    <w:rsid w:val="2C962075"/>
    <w:rsid w:val="2C996995"/>
    <w:rsid w:val="2CB29912"/>
    <w:rsid w:val="2CE6EF23"/>
    <w:rsid w:val="2CF76930"/>
    <w:rsid w:val="2CFC054A"/>
    <w:rsid w:val="2D05CB4E"/>
    <w:rsid w:val="2D1B5A5F"/>
    <w:rsid w:val="2D22F064"/>
    <w:rsid w:val="2D28E00D"/>
    <w:rsid w:val="2D3779CD"/>
    <w:rsid w:val="2D511134"/>
    <w:rsid w:val="2D51A284"/>
    <w:rsid w:val="2D5B8396"/>
    <w:rsid w:val="2D811A67"/>
    <w:rsid w:val="2D84DC1C"/>
    <w:rsid w:val="2D91750A"/>
    <w:rsid w:val="2D9D8AF0"/>
    <w:rsid w:val="2DB96CC9"/>
    <w:rsid w:val="2DBA0BFF"/>
    <w:rsid w:val="2DF48DC7"/>
    <w:rsid w:val="2E00D29D"/>
    <w:rsid w:val="2E03C76B"/>
    <w:rsid w:val="2E1CCF74"/>
    <w:rsid w:val="2E227B59"/>
    <w:rsid w:val="2E2F1024"/>
    <w:rsid w:val="2E34FAD2"/>
    <w:rsid w:val="2E3C0E60"/>
    <w:rsid w:val="2E4C5A72"/>
    <w:rsid w:val="2E4C6F53"/>
    <w:rsid w:val="2E573DA1"/>
    <w:rsid w:val="2E6A3E7D"/>
    <w:rsid w:val="2E821EFF"/>
    <w:rsid w:val="2E8B667F"/>
    <w:rsid w:val="2E906F91"/>
    <w:rsid w:val="2E9B3AEC"/>
    <w:rsid w:val="2EA2CD06"/>
    <w:rsid w:val="2EB58673"/>
    <w:rsid w:val="2EBC7615"/>
    <w:rsid w:val="2ECA524B"/>
    <w:rsid w:val="2ED52993"/>
    <w:rsid w:val="2EEA638B"/>
    <w:rsid w:val="2EEB4BC9"/>
    <w:rsid w:val="2F095B66"/>
    <w:rsid w:val="2F0EF3AD"/>
    <w:rsid w:val="2F407820"/>
    <w:rsid w:val="2F6A8DE8"/>
    <w:rsid w:val="2F6BF6ED"/>
    <w:rsid w:val="2F6F670F"/>
    <w:rsid w:val="2F807EF9"/>
    <w:rsid w:val="2F870B79"/>
    <w:rsid w:val="2F955F5A"/>
    <w:rsid w:val="2FA3D4D8"/>
    <w:rsid w:val="2FAC814D"/>
    <w:rsid w:val="2FB4893D"/>
    <w:rsid w:val="2FBE0A6A"/>
    <w:rsid w:val="2FC5E72C"/>
    <w:rsid w:val="2FD3E80C"/>
    <w:rsid w:val="2FE5B0DF"/>
    <w:rsid w:val="2FEAFAF6"/>
    <w:rsid w:val="2FEF59A0"/>
    <w:rsid w:val="2FF84E9C"/>
    <w:rsid w:val="300755A7"/>
    <w:rsid w:val="300E9414"/>
    <w:rsid w:val="3018AF64"/>
    <w:rsid w:val="301ED2D4"/>
    <w:rsid w:val="30326D8F"/>
    <w:rsid w:val="30363B87"/>
    <w:rsid w:val="305717B4"/>
    <w:rsid w:val="305C2BC1"/>
    <w:rsid w:val="3075E024"/>
    <w:rsid w:val="30BD7C08"/>
    <w:rsid w:val="30C6BB75"/>
    <w:rsid w:val="30CF1DC9"/>
    <w:rsid w:val="30D56804"/>
    <w:rsid w:val="30D5DBEA"/>
    <w:rsid w:val="30D8A5FA"/>
    <w:rsid w:val="30E14679"/>
    <w:rsid w:val="3102F74A"/>
    <w:rsid w:val="3116CB68"/>
    <w:rsid w:val="311CBE1C"/>
    <w:rsid w:val="31263D9F"/>
    <w:rsid w:val="3148BDB7"/>
    <w:rsid w:val="31694F63"/>
    <w:rsid w:val="31721B77"/>
    <w:rsid w:val="31730944"/>
    <w:rsid w:val="31739562"/>
    <w:rsid w:val="319862A2"/>
    <w:rsid w:val="319E42A5"/>
    <w:rsid w:val="31AA6DC0"/>
    <w:rsid w:val="31AD1E58"/>
    <w:rsid w:val="31AE1684"/>
    <w:rsid w:val="31BAB21E"/>
    <w:rsid w:val="31D48170"/>
    <w:rsid w:val="31E4C9C8"/>
    <w:rsid w:val="31FB0918"/>
    <w:rsid w:val="321642F9"/>
    <w:rsid w:val="322C2331"/>
    <w:rsid w:val="323D68A7"/>
    <w:rsid w:val="325A69AE"/>
    <w:rsid w:val="32755BA5"/>
    <w:rsid w:val="3281F0DD"/>
    <w:rsid w:val="3298B5DE"/>
    <w:rsid w:val="32BBCF44"/>
    <w:rsid w:val="32DCE5D3"/>
    <w:rsid w:val="32FC5F11"/>
    <w:rsid w:val="3319CA3F"/>
    <w:rsid w:val="3324D952"/>
    <w:rsid w:val="333EF707"/>
    <w:rsid w:val="334373C2"/>
    <w:rsid w:val="3363B9BA"/>
    <w:rsid w:val="33762B3D"/>
    <w:rsid w:val="339184B5"/>
    <w:rsid w:val="33A2CBE3"/>
    <w:rsid w:val="33A3E895"/>
    <w:rsid w:val="33BC42B4"/>
    <w:rsid w:val="33C659F2"/>
    <w:rsid w:val="33CDF6AB"/>
    <w:rsid w:val="33E0937E"/>
    <w:rsid w:val="33EDE500"/>
    <w:rsid w:val="3402FA76"/>
    <w:rsid w:val="3405E7F6"/>
    <w:rsid w:val="340644CD"/>
    <w:rsid w:val="3416E82C"/>
    <w:rsid w:val="341F0FB4"/>
    <w:rsid w:val="34293AC1"/>
    <w:rsid w:val="3429E01A"/>
    <w:rsid w:val="34369741"/>
    <w:rsid w:val="3476D02B"/>
    <w:rsid w:val="3495ED79"/>
    <w:rsid w:val="349A84F4"/>
    <w:rsid w:val="34A44BDB"/>
    <w:rsid w:val="34A970DB"/>
    <w:rsid w:val="34B1EF15"/>
    <w:rsid w:val="34FC4A54"/>
    <w:rsid w:val="35122841"/>
    <w:rsid w:val="352B7CB5"/>
    <w:rsid w:val="35401AFE"/>
    <w:rsid w:val="35737EE4"/>
    <w:rsid w:val="358074FD"/>
    <w:rsid w:val="359179C4"/>
    <w:rsid w:val="35B2D55A"/>
    <w:rsid w:val="35B52E61"/>
    <w:rsid w:val="35B8AE70"/>
    <w:rsid w:val="35C79D5D"/>
    <w:rsid w:val="35CC01B1"/>
    <w:rsid w:val="35F65357"/>
    <w:rsid w:val="360F82C5"/>
    <w:rsid w:val="3611EBE2"/>
    <w:rsid w:val="36232B5B"/>
    <w:rsid w:val="3630F9AD"/>
    <w:rsid w:val="36432017"/>
    <w:rsid w:val="364B0C56"/>
    <w:rsid w:val="36671775"/>
    <w:rsid w:val="366BC903"/>
    <w:rsid w:val="366FA7CE"/>
    <w:rsid w:val="367023D4"/>
    <w:rsid w:val="367A6112"/>
    <w:rsid w:val="3687C7E8"/>
    <w:rsid w:val="3694BBE7"/>
    <w:rsid w:val="36A2A238"/>
    <w:rsid w:val="36C98AD9"/>
    <w:rsid w:val="36DB2012"/>
    <w:rsid w:val="36F75B65"/>
    <w:rsid w:val="36FAE555"/>
    <w:rsid w:val="3738F10B"/>
    <w:rsid w:val="374EA9CE"/>
    <w:rsid w:val="37591E7B"/>
    <w:rsid w:val="376A8711"/>
    <w:rsid w:val="376DDD9E"/>
    <w:rsid w:val="378A2848"/>
    <w:rsid w:val="3799ED5C"/>
    <w:rsid w:val="379BECF7"/>
    <w:rsid w:val="37AC321C"/>
    <w:rsid w:val="37DF9C10"/>
    <w:rsid w:val="386D69FE"/>
    <w:rsid w:val="387D4F84"/>
    <w:rsid w:val="3880103A"/>
    <w:rsid w:val="38810398"/>
    <w:rsid w:val="38996123"/>
    <w:rsid w:val="389FED80"/>
    <w:rsid w:val="38B1D25B"/>
    <w:rsid w:val="38BE69CB"/>
    <w:rsid w:val="3903B92C"/>
    <w:rsid w:val="39374521"/>
    <w:rsid w:val="3962398F"/>
    <w:rsid w:val="397719BE"/>
    <w:rsid w:val="398B9611"/>
    <w:rsid w:val="39B26A93"/>
    <w:rsid w:val="39B7EA57"/>
    <w:rsid w:val="39EC2C37"/>
    <w:rsid w:val="39F69ED2"/>
    <w:rsid w:val="39F6F4F0"/>
    <w:rsid w:val="3A1C338E"/>
    <w:rsid w:val="3A20F985"/>
    <w:rsid w:val="3A2D1DF1"/>
    <w:rsid w:val="3A80B431"/>
    <w:rsid w:val="3A95D861"/>
    <w:rsid w:val="3AA671EC"/>
    <w:rsid w:val="3AA9B51B"/>
    <w:rsid w:val="3ABCBEFE"/>
    <w:rsid w:val="3AE0651C"/>
    <w:rsid w:val="3AEB9790"/>
    <w:rsid w:val="3B043821"/>
    <w:rsid w:val="3B3F3898"/>
    <w:rsid w:val="3B447EE1"/>
    <w:rsid w:val="3B673E6C"/>
    <w:rsid w:val="3B96D938"/>
    <w:rsid w:val="3BAD6F06"/>
    <w:rsid w:val="3BBB6F23"/>
    <w:rsid w:val="3BD2B618"/>
    <w:rsid w:val="3BD66A39"/>
    <w:rsid w:val="3BEE40F9"/>
    <w:rsid w:val="3C02FF19"/>
    <w:rsid w:val="3C50986B"/>
    <w:rsid w:val="3C5DDC92"/>
    <w:rsid w:val="3C92C35D"/>
    <w:rsid w:val="3CA80A1D"/>
    <w:rsid w:val="3CCCF1B7"/>
    <w:rsid w:val="3CEAC799"/>
    <w:rsid w:val="3CFED1E3"/>
    <w:rsid w:val="3D04147B"/>
    <w:rsid w:val="3D148BC4"/>
    <w:rsid w:val="3D3405F7"/>
    <w:rsid w:val="3D49D5D0"/>
    <w:rsid w:val="3D528923"/>
    <w:rsid w:val="3D574B8F"/>
    <w:rsid w:val="3D970EFB"/>
    <w:rsid w:val="3DA54298"/>
    <w:rsid w:val="3DBCAF4E"/>
    <w:rsid w:val="3DBD35EA"/>
    <w:rsid w:val="3DBEA1A0"/>
    <w:rsid w:val="3DFCE9F8"/>
    <w:rsid w:val="3DFD8056"/>
    <w:rsid w:val="3E11A399"/>
    <w:rsid w:val="3E26AB64"/>
    <w:rsid w:val="3E272D58"/>
    <w:rsid w:val="3E42C6AC"/>
    <w:rsid w:val="3E5DC3BF"/>
    <w:rsid w:val="3E73803F"/>
    <w:rsid w:val="3E7D91F7"/>
    <w:rsid w:val="3E919C3C"/>
    <w:rsid w:val="3E92B35D"/>
    <w:rsid w:val="3E9C1134"/>
    <w:rsid w:val="3E9F0B3A"/>
    <w:rsid w:val="3EA03288"/>
    <w:rsid w:val="3EAC1750"/>
    <w:rsid w:val="3EAE611E"/>
    <w:rsid w:val="3ED171DE"/>
    <w:rsid w:val="3EE24EE7"/>
    <w:rsid w:val="3F063F0F"/>
    <w:rsid w:val="3F074574"/>
    <w:rsid w:val="3F1919BD"/>
    <w:rsid w:val="3F2A0C15"/>
    <w:rsid w:val="3F3CD620"/>
    <w:rsid w:val="3F45B994"/>
    <w:rsid w:val="3F478791"/>
    <w:rsid w:val="3F47880D"/>
    <w:rsid w:val="3F5366D9"/>
    <w:rsid w:val="3F53A153"/>
    <w:rsid w:val="3F5481F5"/>
    <w:rsid w:val="3F6B00EA"/>
    <w:rsid w:val="3F6D749E"/>
    <w:rsid w:val="3F79BDFA"/>
    <w:rsid w:val="3FA3A5C6"/>
    <w:rsid w:val="3FAB0A5B"/>
    <w:rsid w:val="3FBD77C5"/>
    <w:rsid w:val="3FBFCBDD"/>
    <w:rsid w:val="3FD1DC38"/>
    <w:rsid w:val="3FECEE8F"/>
    <w:rsid w:val="3FF52291"/>
    <w:rsid w:val="400704AA"/>
    <w:rsid w:val="406217E4"/>
    <w:rsid w:val="4074181C"/>
    <w:rsid w:val="408E8675"/>
    <w:rsid w:val="40A29A87"/>
    <w:rsid w:val="40CD607B"/>
    <w:rsid w:val="4117F541"/>
    <w:rsid w:val="4126F0B3"/>
    <w:rsid w:val="41290795"/>
    <w:rsid w:val="412A8090"/>
    <w:rsid w:val="4147E221"/>
    <w:rsid w:val="4151E45D"/>
    <w:rsid w:val="4156C674"/>
    <w:rsid w:val="415DF079"/>
    <w:rsid w:val="415EAE48"/>
    <w:rsid w:val="41848BC3"/>
    <w:rsid w:val="4189C35F"/>
    <w:rsid w:val="4197E446"/>
    <w:rsid w:val="41987815"/>
    <w:rsid w:val="419FEB2C"/>
    <w:rsid w:val="41D213D6"/>
    <w:rsid w:val="41DB78AB"/>
    <w:rsid w:val="41FC20D8"/>
    <w:rsid w:val="42098AFA"/>
    <w:rsid w:val="421195C6"/>
    <w:rsid w:val="421F0D67"/>
    <w:rsid w:val="422B985E"/>
    <w:rsid w:val="422EB3FB"/>
    <w:rsid w:val="4231C6B2"/>
    <w:rsid w:val="423525DE"/>
    <w:rsid w:val="424C0E78"/>
    <w:rsid w:val="424F75E5"/>
    <w:rsid w:val="425F5CE1"/>
    <w:rsid w:val="4263B9C2"/>
    <w:rsid w:val="426C9265"/>
    <w:rsid w:val="428C256E"/>
    <w:rsid w:val="42E67CA2"/>
    <w:rsid w:val="42F6CF3E"/>
    <w:rsid w:val="42FF683B"/>
    <w:rsid w:val="430C699E"/>
    <w:rsid w:val="430EDE41"/>
    <w:rsid w:val="4315A18C"/>
    <w:rsid w:val="43376C7F"/>
    <w:rsid w:val="43532ABC"/>
    <w:rsid w:val="436270BC"/>
    <w:rsid w:val="4364A878"/>
    <w:rsid w:val="436C1553"/>
    <w:rsid w:val="43A9B156"/>
    <w:rsid w:val="43B10F1D"/>
    <w:rsid w:val="43B294DA"/>
    <w:rsid w:val="43D2F421"/>
    <w:rsid w:val="43E45D2F"/>
    <w:rsid w:val="440482E7"/>
    <w:rsid w:val="441BD014"/>
    <w:rsid w:val="4433ABF9"/>
    <w:rsid w:val="4445F497"/>
    <w:rsid w:val="44482C3A"/>
    <w:rsid w:val="444BAB31"/>
    <w:rsid w:val="44544CBC"/>
    <w:rsid w:val="4464608F"/>
    <w:rsid w:val="4473C473"/>
    <w:rsid w:val="447D2E8D"/>
    <w:rsid w:val="448D75CD"/>
    <w:rsid w:val="44A4E271"/>
    <w:rsid w:val="44B215EF"/>
    <w:rsid w:val="44B502D3"/>
    <w:rsid w:val="44EF4528"/>
    <w:rsid w:val="44FC49DE"/>
    <w:rsid w:val="450558D0"/>
    <w:rsid w:val="4514C6EE"/>
    <w:rsid w:val="45256E82"/>
    <w:rsid w:val="452C5578"/>
    <w:rsid w:val="456A98AF"/>
    <w:rsid w:val="4592E683"/>
    <w:rsid w:val="45973E10"/>
    <w:rsid w:val="45AD6375"/>
    <w:rsid w:val="45B5DA15"/>
    <w:rsid w:val="45BB6818"/>
    <w:rsid w:val="45CFFFEF"/>
    <w:rsid w:val="45DF9DA6"/>
    <w:rsid w:val="45E5BA11"/>
    <w:rsid w:val="45EBC352"/>
    <w:rsid w:val="4604F34C"/>
    <w:rsid w:val="460F2C1B"/>
    <w:rsid w:val="461566FC"/>
    <w:rsid w:val="462BA1EE"/>
    <w:rsid w:val="462C231C"/>
    <w:rsid w:val="46406000"/>
    <w:rsid w:val="464C53EC"/>
    <w:rsid w:val="46565BDE"/>
    <w:rsid w:val="46841C91"/>
    <w:rsid w:val="469BACD7"/>
    <w:rsid w:val="46D684DC"/>
    <w:rsid w:val="46EB4A11"/>
    <w:rsid w:val="46F8F790"/>
    <w:rsid w:val="4716723F"/>
    <w:rsid w:val="4726A0EA"/>
    <w:rsid w:val="473359D7"/>
    <w:rsid w:val="47339E4E"/>
    <w:rsid w:val="4741E012"/>
    <w:rsid w:val="474AFA73"/>
    <w:rsid w:val="4758C493"/>
    <w:rsid w:val="475DDB5D"/>
    <w:rsid w:val="47777654"/>
    <w:rsid w:val="47889439"/>
    <w:rsid w:val="478DEF9A"/>
    <w:rsid w:val="478F1DA8"/>
    <w:rsid w:val="47981CCF"/>
    <w:rsid w:val="47A4DD16"/>
    <w:rsid w:val="47B7A7DA"/>
    <w:rsid w:val="47C27B0C"/>
    <w:rsid w:val="47C432ED"/>
    <w:rsid w:val="47C61200"/>
    <w:rsid w:val="47D4B20B"/>
    <w:rsid w:val="47EAE06E"/>
    <w:rsid w:val="4825DF0D"/>
    <w:rsid w:val="484BAB3B"/>
    <w:rsid w:val="484ED146"/>
    <w:rsid w:val="485C4954"/>
    <w:rsid w:val="486FDE08"/>
    <w:rsid w:val="488C66E2"/>
    <w:rsid w:val="4894DF38"/>
    <w:rsid w:val="48BF3DBD"/>
    <w:rsid w:val="48D57B3E"/>
    <w:rsid w:val="48EBD08D"/>
    <w:rsid w:val="48F31225"/>
    <w:rsid w:val="48F31349"/>
    <w:rsid w:val="48F9E53A"/>
    <w:rsid w:val="48FA8617"/>
    <w:rsid w:val="48FAAE9E"/>
    <w:rsid w:val="4905D464"/>
    <w:rsid w:val="4916D7EE"/>
    <w:rsid w:val="49473418"/>
    <w:rsid w:val="49802D07"/>
    <w:rsid w:val="498CBEC6"/>
    <w:rsid w:val="498CDFBE"/>
    <w:rsid w:val="499AAE80"/>
    <w:rsid w:val="499C8530"/>
    <w:rsid w:val="49A36CC4"/>
    <w:rsid w:val="49B0EF24"/>
    <w:rsid w:val="49CA5D10"/>
    <w:rsid w:val="49D5FE92"/>
    <w:rsid w:val="49D7AAAC"/>
    <w:rsid w:val="49D80F81"/>
    <w:rsid w:val="49E83839"/>
    <w:rsid w:val="49ED1F86"/>
    <w:rsid w:val="49F72806"/>
    <w:rsid w:val="4A0A6829"/>
    <w:rsid w:val="4A23EFC6"/>
    <w:rsid w:val="4A824354"/>
    <w:rsid w:val="4A853639"/>
    <w:rsid w:val="4AACDA7F"/>
    <w:rsid w:val="4AB0857E"/>
    <w:rsid w:val="4AB55FF2"/>
    <w:rsid w:val="4AC42944"/>
    <w:rsid w:val="4AD8B734"/>
    <w:rsid w:val="4AF9A8F7"/>
    <w:rsid w:val="4B043F37"/>
    <w:rsid w:val="4B28355F"/>
    <w:rsid w:val="4B2C3BED"/>
    <w:rsid w:val="4B32AC55"/>
    <w:rsid w:val="4B3938CD"/>
    <w:rsid w:val="4B4303C7"/>
    <w:rsid w:val="4B60366A"/>
    <w:rsid w:val="4B623914"/>
    <w:rsid w:val="4B79D9AB"/>
    <w:rsid w:val="4B8984FE"/>
    <w:rsid w:val="4B95E554"/>
    <w:rsid w:val="4B98A22E"/>
    <w:rsid w:val="4BEEC73A"/>
    <w:rsid w:val="4BF52601"/>
    <w:rsid w:val="4C195BA9"/>
    <w:rsid w:val="4C1C834D"/>
    <w:rsid w:val="4C341AEB"/>
    <w:rsid w:val="4C56561C"/>
    <w:rsid w:val="4C57D3B1"/>
    <w:rsid w:val="4C57D74D"/>
    <w:rsid w:val="4C7A8956"/>
    <w:rsid w:val="4C84C179"/>
    <w:rsid w:val="4CBBE757"/>
    <w:rsid w:val="4CBE5232"/>
    <w:rsid w:val="4CF10959"/>
    <w:rsid w:val="4D195AB4"/>
    <w:rsid w:val="4D1E7C3D"/>
    <w:rsid w:val="4D27D012"/>
    <w:rsid w:val="4D29D287"/>
    <w:rsid w:val="4D329760"/>
    <w:rsid w:val="4D3C4ADA"/>
    <w:rsid w:val="4D5D667A"/>
    <w:rsid w:val="4D7700BB"/>
    <w:rsid w:val="4D7CA22D"/>
    <w:rsid w:val="4D965DF8"/>
    <w:rsid w:val="4DAB3BF6"/>
    <w:rsid w:val="4DB46D22"/>
    <w:rsid w:val="4DBD6ABF"/>
    <w:rsid w:val="4DBF5107"/>
    <w:rsid w:val="4DC5538E"/>
    <w:rsid w:val="4DC91182"/>
    <w:rsid w:val="4DCD9E8B"/>
    <w:rsid w:val="4DD55046"/>
    <w:rsid w:val="4DD5A6C6"/>
    <w:rsid w:val="4DE19273"/>
    <w:rsid w:val="4DE5F715"/>
    <w:rsid w:val="4E10B113"/>
    <w:rsid w:val="4E399247"/>
    <w:rsid w:val="4E58037D"/>
    <w:rsid w:val="4EB5CA60"/>
    <w:rsid w:val="4EC2C1E0"/>
    <w:rsid w:val="4ED40BAD"/>
    <w:rsid w:val="4F0C73EF"/>
    <w:rsid w:val="4F1B9115"/>
    <w:rsid w:val="4F3C8D48"/>
    <w:rsid w:val="4F4728B5"/>
    <w:rsid w:val="4F473598"/>
    <w:rsid w:val="4F6163BC"/>
    <w:rsid w:val="4F624587"/>
    <w:rsid w:val="4F77C960"/>
    <w:rsid w:val="4F7A9EB6"/>
    <w:rsid w:val="4F7E7432"/>
    <w:rsid w:val="4F993F47"/>
    <w:rsid w:val="4FBCA649"/>
    <w:rsid w:val="4FEEA237"/>
    <w:rsid w:val="500D9167"/>
    <w:rsid w:val="5010CD21"/>
    <w:rsid w:val="50473C7A"/>
    <w:rsid w:val="504B8C56"/>
    <w:rsid w:val="505AA60D"/>
    <w:rsid w:val="505D7E56"/>
    <w:rsid w:val="5067ADEF"/>
    <w:rsid w:val="506F74B1"/>
    <w:rsid w:val="5079782B"/>
    <w:rsid w:val="509C44D9"/>
    <w:rsid w:val="50BF704C"/>
    <w:rsid w:val="50C0F45E"/>
    <w:rsid w:val="50C7A814"/>
    <w:rsid w:val="50FC39C0"/>
    <w:rsid w:val="51259EDB"/>
    <w:rsid w:val="5138676A"/>
    <w:rsid w:val="51419904"/>
    <w:rsid w:val="514DF5F5"/>
    <w:rsid w:val="516545CD"/>
    <w:rsid w:val="519595B7"/>
    <w:rsid w:val="5196223D"/>
    <w:rsid w:val="51A9B055"/>
    <w:rsid w:val="51C018F7"/>
    <w:rsid w:val="51E814EE"/>
    <w:rsid w:val="5225159B"/>
    <w:rsid w:val="5242E586"/>
    <w:rsid w:val="5243069E"/>
    <w:rsid w:val="524D4393"/>
    <w:rsid w:val="5261A98D"/>
    <w:rsid w:val="526782BB"/>
    <w:rsid w:val="5293E230"/>
    <w:rsid w:val="52B425AC"/>
    <w:rsid w:val="52E89299"/>
    <w:rsid w:val="52F0A24A"/>
    <w:rsid w:val="53084F03"/>
    <w:rsid w:val="5325F61F"/>
    <w:rsid w:val="5358B15E"/>
    <w:rsid w:val="5380DF5A"/>
    <w:rsid w:val="53A5984B"/>
    <w:rsid w:val="53AAB489"/>
    <w:rsid w:val="53CB4A81"/>
    <w:rsid w:val="53E1E89C"/>
    <w:rsid w:val="53ED2789"/>
    <w:rsid w:val="53ED3BB0"/>
    <w:rsid w:val="540BBC2A"/>
    <w:rsid w:val="543770A2"/>
    <w:rsid w:val="5451517B"/>
    <w:rsid w:val="5451CC95"/>
    <w:rsid w:val="546C219B"/>
    <w:rsid w:val="5496D806"/>
    <w:rsid w:val="54A715FD"/>
    <w:rsid w:val="54ACD700"/>
    <w:rsid w:val="54CF5A53"/>
    <w:rsid w:val="54D1AF6C"/>
    <w:rsid w:val="54E605DF"/>
    <w:rsid w:val="55023626"/>
    <w:rsid w:val="550F619C"/>
    <w:rsid w:val="55450076"/>
    <w:rsid w:val="5560EB46"/>
    <w:rsid w:val="55861A08"/>
    <w:rsid w:val="558EE8AF"/>
    <w:rsid w:val="5590320D"/>
    <w:rsid w:val="55A3E573"/>
    <w:rsid w:val="55C41AFC"/>
    <w:rsid w:val="55D52DEF"/>
    <w:rsid w:val="55DE1AB5"/>
    <w:rsid w:val="55E2609C"/>
    <w:rsid w:val="55E36F46"/>
    <w:rsid w:val="55E873FF"/>
    <w:rsid w:val="55EF1214"/>
    <w:rsid w:val="55F5EE64"/>
    <w:rsid w:val="5601DDB0"/>
    <w:rsid w:val="5601EC71"/>
    <w:rsid w:val="563C126D"/>
    <w:rsid w:val="56425B15"/>
    <w:rsid w:val="56462FB7"/>
    <w:rsid w:val="5666FCBD"/>
    <w:rsid w:val="5689A03E"/>
    <w:rsid w:val="56BE3669"/>
    <w:rsid w:val="56C16C35"/>
    <w:rsid w:val="56D62FE5"/>
    <w:rsid w:val="56E8B699"/>
    <w:rsid w:val="5719B036"/>
    <w:rsid w:val="5740BC49"/>
    <w:rsid w:val="57429E59"/>
    <w:rsid w:val="5760A156"/>
    <w:rsid w:val="57702182"/>
    <w:rsid w:val="57AA1E61"/>
    <w:rsid w:val="57BBE038"/>
    <w:rsid w:val="57D42479"/>
    <w:rsid w:val="57E2244D"/>
    <w:rsid w:val="57EB188A"/>
    <w:rsid w:val="57FBD3AB"/>
    <w:rsid w:val="580C478E"/>
    <w:rsid w:val="581B74DF"/>
    <w:rsid w:val="58433269"/>
    <w:rsid w:val="58438DBF"/>
    <w:rsid w:val="584C787C"/>
    <w:rsid w:val="584FD350"/>
    <w:rsid w:val="58712A3F"/>
    <w:rsid w:val="58779C84"/>
    <w:rsid w:val="587E2C21"/>
    <w:rsid w:val="5896E157"/>
    <w:rsid w:val="58B193D8"/>
    <w:rsid w:val="58B1D0F4"/>
    <w:rsid w:val="58BBB7CA"/>
    <w:rsid w:val="58BE5BBC"/>
    <w:rsid w:val="58C048FE"/>
    <w:rsid w:val="58EAAC95"/>
    <w:rsid w:val="58F3E32A"/>
    <w:rsid w:val="58FA6D5A"/>
    <w:rsid w:val="59068E3F"/>
    <w:rsid w:val="5931ACE3"/>
    <w:rsid w:val="595FF0D1"/>
    <w:rsid w:val="5964C58B"/>
    <w:rsid w:val="596FAB53"/>
    <w:rsid w:val="597AE85C"/>
    <w:rsid w:val="59860413"/>
    <w:rsid w:val="598C5254"/>
    <w:rsid w:val="598E7B1A"/>
    <w:rsid w:val="599E4932"/>
    <w:rsid w:val="59B6871B"/>
    <w:rsid w:val="59D74253"/>
    <w:rsid w:val="59D7B57F"/>
    <w:rsid w:val="59E6D458"/>
    <w:rsid w:val="59F3EFAF"/>
    <w:rsid w:val="5A070024"/>
    <w:rsid w:val="5A11E912"/>
    <w:rsid w:val="5A3A4FFA"/>
    <w:rsid w:val="5A7531C9"/>
    <w:rsid w:val="5A95A5C1"/>
    <w:rsid w:val="5A9D791C"/>
    <w:rsid w:val="5AC96445"/>
    <w:rsid w:val="5AD091AF"/>
    <w:rsid w:val="5AE481E1"/>
    <w:rsid w:val="5AE89AFB"/>
    <w:rsid w:val="5AF0550F"/>
    <w:rsid w:val="5AF3F509"/>
    <w:rsid w:val="5AF98C46"/>
    <w:rsid w:val="5B017396"/>
    <w:rsid w:val="5B037C82"/>
    <w:rsid w:val="5B0801EC"/>
    <w:rsid w:val="5B09F9C2"/>
    <w:rsid w:val="5B0B68C5"/>
    <w:rsid w:val="5B178839"/>
    <w:rsid w:val="5B21310D"/>
    <w:rsid w:val="5B6F51B1"/>
    <w:rsid w:val="5B9280C5"/>
    <w:rsid w:val="5B9B7D63"/>
    <w:rsid w:val="5BAB141B"/>
    <w:rsid w:val="5BAF462E"/>
    <w:rsid w:val="5BB362D9"/>
    <w:rsid w:val="5C067146"/>
    <w:rsid w:val="5C19D5EB"/>
    <w:rsid w:val="5C493E97"/>
    <w:rsid w:val="5C4C6140"/>
    <w:rsid w:val="5C55C4DD"/>
    <w:rsid w:val="5C93BB78"/>
    <w:rsid w:val="5C95C547"/>
    <w:rsid w:val="5CA81E6B"/>
    <w:rsid w:val="5CD4652C"/>
    <w:rsid w:val="5CDDE1F5"/>
    <w:rsid w:val="5CEFA723"/>
    <w:rsid w:val="5D06A211"/>
    <w:rsid w:val="5D16918B"/>
    <w:rsid w:val="5D2CEA3C"/>
    <w:rsid w:val="5D36829F"/>
    <w:rsid w:val="5D3CF342"/>
    <w:rsid w:val="5D48F6E1"/>
    <w:rsid w:val="5D5022DF"/>
    <w:rsid w:val="5D566DEB"/>
    <w:rsid w:val="5D894AD4"/>
    <w:rsid w:val="5D97D69B"/>
    <w:rsid w:val="5DA0A5B1"/>
    <w:rsid w:val="5DBB89C6"/>
    <w:rsid w:val="5DCF4316"/>
    <w:rsid w:val="5DDDAD44"/>
    <w:rsid w:val="5DDEB88E"/>
    <w:rsid w:val="5DF5FB92"/>
    <w:rsid w:val="5E2C2A83"/>
    <w:rsid w:val="5E74CCD8"/>
    <w:rsid w:val="5E7CDD2B"/>
    <w:rsid w:val="5E83B6B0"/>
    <w:rsid w:val="5E8C7FDA"/>
    <w:rsid w:val="5EA1F949"/>
    <w:rsid w:val="5EB049CB"/>
    <w:rsid w:val="5EE6E631"/>
    <w:rsid w:val="5F000A17"/>
    <w:rsid w:val="5F06FEA3"/>
    <w:rsid w:val="5F1CB2F8"/>
    <w:rsid w:val="5F2A9DC2"/>
    <w:rsid w:val="5F3C88EB"/>
    <w:rsid w:val="5F663823"/>
    <w:rsid w:val="5F68C83E"/>
    <w:rsid w:val="5F6CC8C8"/>
    <w:rsid w:val="5F9FA65B"/>
    <w:rsid w:val="5FB7AA65"/>
    <w:rsid w:val="5FD53090"/>
    <w:rsid w:val="5FE2020E"/>
    <w:rsid w:val="5FE9C06D"/>
    <w:rsid w:val="5FEE4BA6"/>
    <w:rsid w:val="5FF532CF"/>
    <w:rsid w:val="600AE13B"/>
    <w:rsid w:val="60126603"/>
    <w:rsid w:val="6027C21F"/>
    <w:rsid w:val="603EE6F7"/>
    <w:rsid w:val="6045BF72"/>
    <w:rsid w:val="6048B589"/>
    <w:rsid w:val="607A28A5"/>
    <w:rsid w:val="608388CF"/>
    <w:rsid w:val="6096A06D"/>
    <w:rsid w:val="6097B272"/>
    <w:rsid w:val="609CF300"/>
    <w:rsid w:val="60A54515"/>
    <w:rsid w:val="60B6DB32"/>
    <w:rsid w:val="60F2C1F2"/>
    <w:rsid w:val="610B6EC7"/>
    <w:rsid w:val="610BD4EB"/>
    <w:rsid w:val="610ECF66"/>
    <w:rsid w:val="6144D26B"/>
    <w:rsid w:val="6151C7EB"/>
    <w:rsid w:val="6169AC1F"/>
    <w:rsid w:val="6177E4E7"/>
    <w:rsid w:val="6188C509"/>
    <w:rsid w:val="619759E8"/>
    <w:rsid w:val="619EF4AE"/>
    <w:rsid w:val="61B73526"/>
    <w:rsid w:val="61E81EAB"/>
    <w:rsid w:val="61F4FFC8"/>
    <w:rsid w:val="61FF7D00"/>
    <w:rsid w:val="62131AF5"/>
    <w:rsid w:val="62550729"/>
    <w:rsid w:val="6261D674"/>
    <w:rsid w:val="626C132C"/>
    <w:rsid w:val="62727EB4"/>
    <w:rsid w:val="6283C527"/>
    <w:rsid w:val="62FAB6B7"/>
    <w:rsid w:val="63030552"/>
    <w:rsid w:val="6339081A"/>
    <w:rsid w:val="635A78B0"/>
    <w:rsid w:val="63681713"/>
    <w:rsid w:val="6397BA0B"/>
    <w:rsid w:val="639DEABD"/>
    <w:rsid w:val="63A5E335"/>
    <w:rsid w:val="63C157E2"/>
    <w:rsid w:val="63C2DA51"/>
    <w:rsid w:val="63D6CFBF"/>
    <w:rsid w:val="63E72586"/>
    <w:rsid w:val="640B75DE"/>
    <w:rsid w:val="64191E4D"/>
    <w:rsid w:val="641EC9E3"/>
    <w:rsid w:val="6431E040"/>
    <w:rsid w:val="643F09AA"/>
    <w:rsid w:val="6442047E"/>
    <w:rsid w:val="6472F1CC"/>
    <w:rsid w:val="647CB9AF"/>
    <w:rsid w:val="649FB79F"/>
    <w:rsid w:val="64A2A5D1"/>
    <w:rsid w:val="64AA28DD"/>
    <w:rsid w:val="64CFE53B"/>
    <w:rsid w:val="64F14AA6"/>
    <w:rsid w:val="6541DAEB"/>
    <w:rsid w:val="6542A0FC"/>
    <w:rsid w:val="65461CE6"/>
    <w:rsid w:val="655334F3"/>
    <w:rsid w:val="6558DBD1"/>
    <w:rsid w:val="655DCE1C"/>
    <w:rsid w:val="65625A06"/>
    <w:rsid w:val="658E33AE"/>
    <w:rsid w:val="659027AC"/>
    <w:rsid w:val="659192A2"/>
    <w:rsid w:val="65AB3D78"/>
    <w:rsid w:val="65B23A99"/>
    <w:rsid w:val="65BB5B23"/>
    <w:rsid w:val="65C64918"/>
    <w:rsid w:val="65C7347A"/>
    <w:rsid w:val="65C84FBB"/>
    <w:rsid w:val="65E7D954"/>
    <w:rsid w:val="65EA76F3"/>
    <w:rsid w:val="65F72AF1"/>
    <w:rsid w:val="65FA969B"/>
    <w:rsid w:val="6614C6F9"/>
    <w:rsid w:val="66286F66"/>
    <w:rsid w:val="6631749C"/>
    <w:rsid w:val="66343B95"/>
    <w:rsid w:val="6641C3B4"/>
    <w:rsid w:val="664547CE"/>
    <w:rsid w:val="66587CC6"/>
    <w:rsid w:val="665C4968"/>
    <w:rsid w:val="6695FB0B"/>
    <w:rsid w:val="669D3B15"/>
    <w:rsid w:val="66BB32F4"/>
    <w:rsid w:val="66C1CA6B"/>
    <w:rsid w:val="66C24C05"/>
    <w:rsid w:val="66CAC745"/>
    <w:rsid w:val="66FF71CF"/>
    <w:rsid w:val="66FFEA57"/>
    <w:rsid w:val="670DC474"/>
    <w:rsid w:val="674578DA"/>
    <w:rsid w:val="67635BAA"/>
    <w:rsid w:val="67652D49"/>
    <w:rsid w:val="6765E524"/>
    <w:rsid w:val="6766DB35"/>
    <w:rsid w:val="676ACCD6"/>
    <w:rsid w:val="67BB2F6C"/>
    <w:rsid w:val="67BF8BB2"/>
    <w:rsid w:val="67C81030"/>
    <w:rsid w:val="67F8ABAB"/>
    <w:rsid w:val="6827E68F"/>
    <w:rsid w:val="682869BE"/>
    <w:rsid w:val="6838754C"/>
    <w:rsid w:val="6848FE6D"/>
    <w:rsid w:val="68576953"/>
    <w:rsid w:val="6860B029"/>
    <w:rsid w:val="689F38FF"/>
    <w:rsid w:val="68A6841E"/>
    <w:rsid w:val="68AAA6A6"/>
    <w:rsid w:val="68BD4495"/>
    <w:rsid w:val="68C84230"/>
    <w:rsid w:val="68C862DE"/>
    <w:rsid w:val="68D16A0D"/>
    <w:rsid w:val="68E65650"/>
    <w:rsid w:val="68F4B90D"/>
    <w:rsid w:val="6906E60D"/>
    <w:rsid w:val="6918B9DB"/>
    <w:rsid w:val="691CEBE0"/>
    <w:rsid w:val="691E8BA6"/>
    <w:rsid w:val="6921CA95"/>
    <w:rsid w:val="692F14B4"/>
    <w:rsid w:val="69459142"/>
    <w:rsid w:val="694C97D5"/>
    <w:rsid w:val="69577BE8"/>
    <w:rsid w:val="69853FAD"/>
    <w:rsid w:val="699F265D"/>
    <w:rsid w:val="69A07A1A"/>
    <w:rsid w:val="69A6254A"/>
    <w:rsid w:val="69C9D7F3"/>
    <w:rsid w:val="69D8B513"/>
    <w:rsid w:val="69E2CB02"/>
    <w:rsid w:val="69F03C19"/>
    <w:rsid w:val="69F58861"/>
    <w:rsid w:val="6A15599D"/>
    <w:rsid w:val="6A3DC7BE"/>
    <w:rsid w:val="6AB8BC41"/>
    <w:rsid w:val="6AC88F78"/>
    <w:rsid w:val="6AD4557C"/>
    <w:rsid w:val="6AE42BE1"/>
    <w:rsid w:val="6AEC44B2"/>
    <w:rsid w:val="6AECCF45"/>
    <w:rsid w:val="6AEEE2FE"/>
    <w:rsid w:val="6AF79CB6"/>
    <w:rsid w:val="6B136B68"/>
    <w:rsid w:val="6B41A5D6"/>
    <w:rsid w:val="6B42194E"/>
    <w:rsid w:val="6B4DA999"/>
    <w:rsid w:val="6B51335F"/>
    <w:rsid w:val="6B588257"/>
    <w:rsid w:val="6B6B49C7"/>
    <w:rsid w:val="6B6BBFE7"/>
    <w:rsid w:val="6B6F9946"/>
    <w:rsid w:val="6BA24E72"/>
    <w:rsid w:val="6BA5D320"/>
    <w:rsid w:val="6BAFCE10"/>
    <w:rsid w:val="6BC66683"/>
    <w:rsid w:val="6BC6C7F1"/>
    <w:rsid w:val="6BE5BCD0"/>
    <w:rsid w:val="6BF317CB"/>
    <w:rsid w:val="6C2AC83F"/>
    <w:rsid w:val="6C78FE4B"/>
    <w:rsid w:val="6C93FA9B"/>
    <w:rsid w:val="6C9D2F4D"/>
    <w:rsid w:val="6CA94F47"/>
    <w:rsid w:val="6CB5726B"/>
    <w:rsid w:val="6CC48D39"/>
    <w:rsid w:val="6CC76474"/>
    <w:rsid w:val="6CE38E58"/>
    <w:rsid w:val="6CF41CAB"/>
    <w:rsid w:val="6D082B37"/>
    <w:rsid w:val="6D15778B"/>
    <w:rsid w:val="6D166B7B"/>
    <w:rsid w:val="6D179469"/>
    <w:rsid w:val="6D256A87"/>
    <w:rsid w:val="6D498607"/>
    <w:rsid w:val="6D6B4CDB"/>
    <w:rsid w:val="6D6D7F18"/>
    <w:rsid w:val="6D7BE30A"/>
    <w:rsid w:val="6D87E108"/>
    <w:rsid w:val="6DAAAAFB"/>
    <w:rsid w:val="6DB81D8E"/>
    <w:rsid w:val="6DD9D569"/>
    <w:rsid w:val="6DECD44D"/>
    <w:rsid w:val="6E1DD2A8"/>
    <w:rsid w:val="6E3B1234"/>
    <w:rsid w:val="6E4E304A"/>
    <w:rsid w:val="6E64E87E"/>
    <w:rsid w:val="6E6EA333"/>
    <w:rsid w:val="6E755D77"/>
    <w:rsid w:val="6E94D63E"/>
    <w:rsid w:val="6EA70F30"/>
    <w:rsid w:val="6EB2C138"/>
    <w:rsid w:val="6EB4A6BE"/>
    <w:rsid w:val="6EB56555"/>
    <w:rsid w:val="6EC3CB07"/>
    <w:rsid w:val="6F07F729"/>
    <w:rsid w:val="6F35E828"/>
    <w:rsid w:val="6F3A5A52"/>
    <w:rsid w:val="6F6F949F"/>
    <w:rsid w:val="6F8B7A54"/>
    <w:rsid w:val="6F99A20C"/>
    <w:rsid w:val="6FA8F60F"/>
    <w:rsid w:val="6FB3F69D"/>
    <w:rsid w:val="6FB739C5"/>
    <w:rsid w:val="6FCFD7B2"/>
    <w:rsid w:val="6FD6787B"/>
    <w:rsid w:val="6FD83603"/>
    <w:rsid w:val="6FDE8B7B"/>
    <w:rsid w:val="7001A5E9"/>
    <w:rsid w:val="700C5FE5"/>
    <w:rsid w:val="7029CA15"/>
    <w:rsid w:val="702EF771"/>
    <w:rsid w:val="703F93C0"/>
    <w:rsid w:val="704513D2"/>
    <w:rsid w:val="7065BDB1"/>
    <w:rsid w:val="70759051"/>
    <w:rsid w:val="70785D2A"/>
    <w:rsid w:val="70A59BBF"/>
    <w:rsid w:val="70C0CAD7"/>
    <w:rsid w:val="70C11225"/>
    <w:rsid w:val="70CBE490"/>
    <w:rsid w:val="70DD45B6"/>
    <w:rsid w:val="71120F7F"/>
    <w:rsid w:val="713FE4D8"/>
    <w:rsid w:val="71417BDF"/>
    <w:rsid w:val="7177C220"/>
    <w:rsid w:val="717B08AC"/>
    <w:rsid w:val="717BC549"/>
    <w:rsid w:val="718D59B1"/>
    <w:rsid w:val="71B9A3EE"/>
    <w:rsid w:val="71E38250"/>
    <w:rsid w:val="72049F6B"/>
    <w:rsid w:val="721FEC9B"/>
    <w:rsid w:val="724C3035"/>
    <w:rsid w:val="725E835C"/>
    <w:rsid w:val="725ED483"/>
    <w:rsid w:val="73136814"/>
    <w:rsid w:val="73166C84"/>
    <w:rsid w:val="7319E5BC"/>
    <w:rsid w:val="73481944"/>
    <w:rsid w:val="734B724C"/>
    <w:rsid w:val="734C3A71"/>
    <w:rsid w:val="73A53AE5"/>
    <w:rsid w:val="73A551CE"/>
    <w:rsid w:val="73AC2E2E"/>
    <w:rsid w:val="73C94B75"/>
    <w:rsid w:val="74270D38"/>
    <w:rsid w:val="743DB30B"/>
    <w:rsid w:val="743EDEA7"/>
    <w:rsid w:val="74447861"/>
    <w:rsid w:val="746DD06B"/>
    <w:rsid w:val="74749DA7"/>
    <w:rsid w:val="7481EDE0"/>
    <w:rsid w:val="7488BAC6"/>
    <w:rsid w:val="74896318"/>
    <w:rsid w:val="749F3FA0"/>
    <w:rsid w:val="74AD3A48"/>
    <w:rsid w:val="74B69635"/>
    <w:rsid w:val="74CB9BFF"/>
    <w:rsid w:val="74CFFC20"/>
    <w:rsid w:val="74FBAEF6"/>
    <w:rsid w:val="7517D327"/>
    <w:rsid w:val="75228C1E"/>
    <w:rsid w:val="7525A649"/>
    <w:rsid w:val="752B8547"/>
    <w:rsid w:val="752F5073"/>
    <w:rsid w:val="75304ECE"/>
    <w:rsid w:val="755C6431"/>
    <w:rsid w:val="756374AF"/>
    <w:rsid w:val="7576F9BF"/>
    <w:rsid w:val="75A7C89D"/>
    <w:rsid w:val="75AF5D8C"/>
    <w:rsid w:val="75B7BCD1"/>
    <w:rsid w:val="75DFDD4E"/>
    <w:rsid w:val="75E277B0"/>
    <w:rsid w:val="75E779A2"/>
    <w:rsid w:val="75F004B4"/>
    <w:rsid w:val="75F8DA76"/>
    <w:rsid w:val="767AD3C9"/>
    <w:rsid w:val="769BD508"/>
    <w:rsid w:val="76A7225B"/>
    <w:rsid w:val="76D30A17"/>
    <w:rsid w:val="76D591D7"/>
    <w:rsid w:val="76D7617A"/>
    <w:rsid w:val="76DBDE75"/>
    <w:rsid w:val="76DE5DA9"/>
    <w:rsid w:val="76FB2C58"/>
    <w:rsid w:val="770FD5A9"/>
    <w:rsid w:val="771EC7A9"/>
    <w:rsid w:val="773B9BF5"/>
    <w:rsid w:val="7741208C"/>
    <w:rsid w:val="7742833A"/>
    <w:rsid w:val="77503DAE"/>
    <w:rsid w:val="7774665A"/>
    <w:rsid w:val="77802949"/>
    <w:rsid w:val="7782DFA8"/>
    <w:rsid w:val="77937EA1"/>
    <w:rsid w:val="779D9309"/>
    <w:rsid w:val="77CC14F3"/>
    <w:rsid w:val="77CFD4A8"/>
    <w:rsid w:val="77DBAD52"/>
    <w:rsid w:val="780A2F0B"/>
    <w:rsid w:val="78108CAF"/>
    <w:rsid w:val="782B2B97"/>
    <w:rsid w:val="783761AA"/>
    <w:rsid w:val="7838FE02"/>
    <w:rsid w:val="783F87CB"/>
    <w:rsid w:val="784BBA9D"/>
    <w:rsid w:val="788C25DD"/>
    <w:rsid w:val="789CDA73"/>
    <w:rsid w:val="78AF998F"/>
    <w:rsid w:val="78B04E85"/>
    <w:rsid w:val="78D0B160"/>
    <w:rsid w:val="78E36BA4"/>
    <w:rsid w:val="78E47AC2"/>
    <w:rsid w:val="79186E5A"/>
    <w:rsid w:val="792DF7C2"/>
    <w:rsid w:val="793E941B"/>
    <w:rsid w:val="794A5B5D"/>
    <w:rsid w:val="794E4392"/>
    <w:rsid w:val="796240D1"/>
    <w:rsid w:val="79833FD3"/>
    <w:rsid w:val="7983A85C"/>
    <w:rsid w:val="79980B3A"/>
    <w:rsid w:val="79A737C0"/>
    <w:rsid w:val="79A81AE1"/>
    <w:rsid w:val="79AF623B"/>
    <w:rsid w:val="79B9B431"/>
    <w:rsid w:val="79BAC3F9"/>
    <w:rsid w:val="79C14DE0"/>
    <w:rsid w:val="79D03D18"/>
    <w:rsid w:val="79D1D65C"/>
    <w:rsid w:val="79E58236"/>
    <w:rsid w:val="79E684EB"/>
    <w:rsid w:val="7A077F26"/>
    <w:rsid w:val="7A1F69E8"/>
    <w:rsid w:val="7A21FEB9"/>
    <w:rsid w:val="7A29423B"/>
    <w:rsid w:val="7A49E086"/>
    <w:rsid w:val="7A4C1026"/>
    <w:rsid w:val="7A689F1A"/>
    <w:rsid w:val="7A77875C"/>
    <w:rsid w:val="7A7CB7C2"/>
    <w:rsid w:val="7A87ED93"/>
    <w:rsid w:val="7A960031"/>
    <w:rsid w:val="7A9F627D"/>
    <w:rsid w:val="7ABCE6A1"/>
    <w:rsid w:val="7AC234C0"/>
    <w:rsid w:val="7AFA8D9D"/>
    <w:rsid w:val="7B1C29F5"/>
    <w:rsid w:val="7B229D32"/>
    <w:rsid w:val="7B27732A"/>
    <w:rsid w:val="7B3C8CB9"/>
    <w:rsid w:val="7B49A1F3"/>
    <w:rsid w:val="7B5C977B"/>
    <w:rsid w:val="7B78629A"/>
    <w:rsid w:val="7B8FE3A1"/>
    <w:rsid w:val="7B993ED7"/>
    <w:rsid w:val="7B9AB1CB"/>
    <w:rsid w:val="7BC3895F"/>
    <w:rsid w:val="7BC75767"/>
    <w:rsid w:val="7BE3B3A4"/>
    <w:rsid w:val="7BF56E54"/>
    <w:rsid w:val="7BFC9FDD"/>
    <w:rsid w:val="7C073BB7"/>
    <w:rsid w:val="7C54747C"/>
    <w:rsid w:val="7C70B58F"/>
    <w:rsid w:val="7C8D1F6F"/>
    <w:rsid w:val="7C932528"/>
    <w:rsid w:val="7C9A6DFD"/>
    <w:rsid w:val="7CAD530B"/>
    <w:rsid w:val="7CBD91D7"/>
    <w:rsid w:val="7CC6A02F"/>
    <w:rsid w:val="7CE60115"/>
    <w:rsid w:val="7D0270ED"/>
    <w:rsid w:val="7D0DF897"/>
    <w:rsid w:val="7D2AE2BA"/>
    <w:rsid w:val="7D4E0709"/>
    <w:rsid w:val="7D528EC4"/>
    <w:rsid w:val="7D54B242"/>
    <w:rsid w:val="7D755364"/>
    <w:rsid w:val="7D7A79C9"/>
    <w:rsid w:val="7D8116F5"/>
    <w:rsid w:val="7D8739BB"/>
    <w:rsid w:val="7DA218AD"/>
    <w:rsid w:val="7DC3322B"/>
    <w:rsid w:val="7DC87F1C"/>
    <w:rsid w:val="7DDAF5BE"/>
    <w:rsid w:val="7E0D1D88"/>
    <w:rsid w:val="7E29E792"/>
    <w:rsid w:val="7E2E2CE7"/>
    <w:rsid w:val="7E4CE96B"/>
    <w:rsid w:val="7E7443E3"/>
    <w:rsid w:val="7E8172BE"/>
    <w:rsid w:val="7E81EB10"/>
    <w:rsid w:val="7E8C0060"/>
    <w:rsid w:val="7E96EA61"/>
    <w:rsid w:val="7E9BF1F5"/>
    <w:rsid w:val="7EA1CD36"/>
    <w:rsid w:val="7EA80D57"/>
    <w:rsid w:val="7EA9C784"/>
    <w:rsid w:val="7EB05F9E"/>
    <w:rsid w:val="7EB5A70E"/>
    <w:rsid w:val="7EDC8482"/>
    <w:rsid w:val="7EE95A17"/>
    <w:rsid w:val="7EFCCE6B"/>
    <w:rsid w:val="7F0692CE"/>
    <w:rsid w:val="7F2A7B05"/>
    <w:rsid w:val="7F3FCD6C"/>
    <w:rsid w:val="7F4F203C"/>
    <w:rsid w:val="7F53A737"/>
    <w:rsid w:val="7F583C82"/>
    <w:rsid w:val="7F7542CD"/>
    <w:rsid w:val="7F7B53FB"/>
    <w:rsid w:val="7FAA602F"/>
    <w:rsid w:val="7FC7495A"/>
    <w:rsid w:val="7FE2520D"/>
    <w:rsid w:val="7FF9B7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34F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653"/>
    <w:pPr>
      <w:spacing w:before="120" w:after="280"/>
      <w:jc w:val="both"/>
    </w:pPr>
  </w:style>
  <w:style w:type="paragraph" w:styleId="Heading1">
    <w:name w:val="heading 1"/>
    <w:basedOn w:val="Normal"/>
    <w:next w:val="Normal"/>
    <w:link w:val="Heading1Char"/>
    <w:uiPriority w:val="9"/>
    <w:qFormat/>
    <w:rsid w:val="00756E0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BC091F"/>
    <w:pPr>
      <w:keepNext/>
      <w:keepLines/>
      <w:spacing w:after="80" w:line="240" w:lineRule="auto"/>
      <w:outlineLvl w:val="1"/>
    </w:pPr>
    <w:rPr>
      <w:rFonts w:asciiTheme="majorHAnsi" w:eastAsiaTheme="majorEastAsia" w:hAnsiTheme="majorHAnsi" w:cstheme="majorBidi"/>
      <w:color w:val="2F5496" w:themeColor="accent1" w:themeShade="BF"/>
      <w:sz w:val="28"/>
      <w:szCs w:val="32"/>
    </w:rPr>
  </w:style>
  <w:style w:type="paragraph" w:styleId="Heading3">
    <w:name w:val="heading 3"/>
    <w:basedOn w:val="Normal"/>
    <w:next w:val="Normal"/>
    <w:link w:val="Heading3Char"/>
    <w:uiPriority w:val="9"/>
    <w:unhideWhenUsed/>
    <w:qFormat/>
    <w:rsid w:val="00BC091F"/>
    <w:pPr>
      <w:keepNext/>
      <w:keepLines/>
      <w:spacing w:before="160" w:after="80" w:line="240" w:lineRule="auto"/>
      <w:outlineLvl w:val="2"/>
    </w:pPr>
    <w:rPr>
      <w:rFonts w:eastAsiaTheme="majorEastAsia" w:cstheme="majorBidi"/>
      <w:i/>
      <w:color w:val="2F5496" w:themeColor="accent1" w:themeShade="BF"/>
      <w:sz w:val="28"/>
      <w:szCs w:val="28"/>
    </w:rPr>
  </w:style>
  <w:style w:type="paragraph" w:styleId="Heading4">
    <w:name w:val="heading 4"/>
    <w:basedOn w:val="Normal"/>
    <w:next w:val="Normal"/>
    <w:link w:val="Heading4Char"/>
    <w:uiPriority w:val="9"/>
    <w:unhideWhenUsed/>
    <w:qFormat/>
    <w:rsid w:val="0035799B"/>
    <w:pPr>
      <w:keepNext/>
      <w:keepLines/>
      <w:spacing w:before="160" w:after="80"/>
      <w:outlineLvl w:val="3"/>
    </w:pPr>
    <w:rPr>
      <w:rFonts w:asciiTheme="majorHAnsi" w:eastAsiaTheme="majorEastAsia" w:hAnsiTheme="majorHAnsi" w:cstheme="majorBidi"/>
      <w:b/>
      <w:color w:val="2F5496" w:themeColor="accent1" w:themeShade="BF"/>
      <w:sz w:val="28"/>
      <w:szCs w:val="24"/>
    </w:rPr>
  </w:style>
  <w:style w:type="paragraph" w:styleId="Heading5">
    <w:name w:val="heading 5"/>
    <w:basedOn w:val="Normal"/>
    <w:next w:val="Normal"/>
    <w:link w:val="Heading5Char"/>
    <w:uiPriority w:val="9"/>
    <w:unhideWhenUsed/>
    <w:qFormat/>
    <w:rsid w:val="00756E0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756E0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756E0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756E0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756E0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E07"/>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2B474C"/>
    <w:rPr>
      <w:rFonts w:asciiTheme="majorHAnsi" w:eastAsiaTheme="majorEastAsia" w:hAnsiTheme="majorHAnsi" w:cstheme="majorBidi"/>
      <w:color w:val="2F5496" w:themeColor="accent1" w:themeShade="BF"/>
      <w:sz w:val="28"/>
      <w:szCs w:val="32"/>
    </w:rPr>
  </w:style>
  <w:style w:type="character" w:customStyle="1" w:styleId="Heading3Char">
    <w:name w:val="Heading 3 Char"/>
    <w:basedOn w:val="DefaultParagraphFont"/>
    <w:link w:val="Heading3"/>
    <w:uiPriority w:val="9"/>
    <w:rsid w:val="0012694F"/>
    <w:rPr>
      <w:rFonts w:eastAsiaTheme="majorEastAsia" w:cstheme="majorBidi"/>
      <w:i/>
      <w:color w:val="2F5496" w:themeColor="accent1" w:themeShade="BF"/>
      <w:sz w:val="28"/>
      <w:szCs w:val="28"/>
    </w:rPr>
  </w:style>
  <w:style w:type="character" w:customStyle="1" w:styleId="Heading4Char">
    <w:name w:val="Heading 4 Char"/>
    <w:basedOn w:val="DefaultParagraphFont"/>
    <w:link w:val="Heading4"/>
    <w:uiPriority w:val="9"/>
    <w:rsid w:val="00756E07"/>
    <w:rPr>
      <w:rFonts w:asciiTheme="majorHAnsi" w:eastAsiaTheme="majorEastAsia" w:hAnsiTheme="majorHAnsi" w:cstheme="majorBidi"/>
      <w:b/>
      <w:color w:val="2F5496" w:themeColor="accent1" w:themeShade="BF"/>
      <w:sz w:val="28"/>
      <w:szCs w:val="24"/>
    </w:rPr>
  </w:style>
  <w:style w:type="character" w:customStyle="1" w:styleId="Heading5Char">
    <w:name w:val="Heading 5 Char"/>
    <w:basedOn w:val="DefaultParagraphFont"/>
    <w:link w:val="Heading5"/>
    <w:uiPriority w:val="9"/>
    <w:rsid w:val="00756E07"/>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756E07"/>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756E07"/>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756E07"/>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756E07"/>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unhideWhenUsed/>
    <w:qFormat/>
    <w:rsid w:val="00756E07"/>
    <w:pPr>
      <w:spacing w:line="240" w:lineRule="auto"/>
    </w:pPr>
    <w:rPr>
      <w:b/>
      <w:bCs/>
      <w:smallCaps/>
      <w:color w:val="44546A" w:themeColor="text2"/>
    </w:rPr>
  </w:style>
  <w:style w:type="paragraph" w:styleId="Title">
    <w:name w:val="Title"/>
    <w:basedOn w:val="Normal"/>
    <w:next w:val="Normal"/>
    <w:link w:val="TitleChar"/>
    <w:uiPriority w:val="10"/>
    <w:qFormat/>
    <w:rsid w:val="00756E0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756E07"/>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756E0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756E07"/>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756E07"/>
    <w:rPr>
      <w:b/>
      <w:bCs/>
    </w:rPr>
  </w:style>
  <w:style w:type="character" w:styleId="Emphasis">
    <w:name w:val="Emphasis"/>
    <w:basedOn w:val="DefaultParagraphFont"/>
    <w:uiPriority w:val="20"/>
    <w:qFormat/>
    <w:rsid w:val="00DF5E38"/>
    <w:rPr>
      <w:i/>
      <w:iCs/>
      <w:sz w:val="24"/>
      <w:u w:val="single"/>
    </w:rPr>
  </w:style>
  <w:style w:type="paragraph" w:styleId="NoSpacing">
    <w:name w:val="No Spacing"/>
    <w:uiPriority w:val="1"/>
    <w:rsid w:val="00756E07"/>
    <w:pPr>
      <w:spacing w:after="0" w:line="240" w:lineRule="auto"/>
    </w:pPr>
  </w:style>
  <w:style w:type="paragraph" w:styleId="Quote">
    <w:name w:val="Quote"/>
    <w:basedOn w:val="Normal"/>
    <w:next w:val="Normal"/>
    <w:link w:val="QuoteChar"/>
    <w:uiPriority w:val="29"/>
    <w:qFormat/>
    <w:rsid w:val="00756E07"/>
    <w:pPr>
      <w:spacing w:after="120"/>
      <w:ind w:left="720"/>
    </w:pPr>
    <w:rPr>
      <w:color w:val="44546A" w:themeColor="text2"/>
      <w:sz w:val="24"/>
      <w:szCs w:val="24"/>
    </w:rPr>
  </w:style>
  <w:style w:type="character" w:customStyle="1" w:styleId="QuoteChar">
    <w:name w:val="Quote Char"/>
    <w:basedOn w:val="DefaultParagraphFont"/>
    <w:link w:val="Quote"/>
    <w:uiPriority w:val="29"/>
    <w:rsid w:val="00756E07"/>
    <w:rPr>
      <w:color w:val="44546A" w:themeColor="text2"/>
      <w:sz w:val="24"/>
      <w:szCs w:val="24"/>
    </w:rPr>
  </w:style>
  <w:style w:type="paragraph" w:styleId="IntenseQuote">
    <w:name w:val="Intense Quote"/>
    <w:basedOn w:val="Normal"/>
    <w:next w:val="Normal"/>
    <w:link w:val="IntenseQuoteChar"/>
    <w:uiPriority w:val="30"/>
    <w:qFormat/>
    <w:rsid w:val="00756E0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756E0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756E07"/>
    <w:rPr>
      <w:i/>
      <w:iCs/>
      <w:color w:val="595959" w:themeColor="text1" w:themeTint="A6"/>
    </w:rPr>
  </w:style>
  <w:style w:type="character" w:styleId="IntenseEmphasis">
    <w:name w:val="Intense Emphasis"/>
    <w:basedOn w:val="DefaultParagraphFont"/>
    <w:uiPriority w:val="21"/>
    <w:qFormat/>
    <w:rsid w:val="00756E07"/>
    <w:rPr>
      <w:b/>
      <w:bCs/>
      <w:i/>
      <w:iCs/>
    </w:rPr>
  </w:style>
  <w:style w:type="character" w:styleId="SubtleReference">
    <w:name w:val="Subtle Reference"/>
    <w:basedOn w:val="DefaultParagraphFont"/>
    <w:uiPriority w:val="31"/>
    <w:qFormat/>
    <w:rsid w:val="00756E0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756E07"/>
    <w:rPr>
      <w:b/>
      <w:bCs/>
      <w:smallCaps/>
      <w:color w:val="44546A" w:themeColor="text2"/>
      <w:u w:val="single"/>
    </w:rPr>
  </w:style>
  <w:style w:type="character" w:styleId="BookTitle">
    <w:name w:val="Book Title"/>
    <w:basedOn w:val="DefaultParagraphFont"/>
    <w:uiPriority w:val="33"/>
    <w:qFormat/>
    <w:rsid w:val="00756E07"/>
    <w:rPr>
      <w:b/>
      <w:bCs/>
      <w:smallCaps/>
      <w:spacing w:val="10"/>
    </w:rPr>
  </w:style>
  <w:style w:type="paragraph" w:styleId="TOCHeading">
    <w:name w:val="TOC Heading"/>
    <w:basedOn w:val="Heading1"/>
    <w:next w:val="Normal"/>
    <w:uiPriority w:val="39"/>
    <w:unhideWhenUsed/>
    <w:qFormat/>
    <w:rsid w:val="00756E07"/>
    <w:pPr>
      <w:outlineLvl w:val="9"/>
    </w:pPr>
  </w:style>
  <w:style w:type="paragraph" w:styleId="ListParagraph">
    <w:name w:val="List Paragraph"/>
    <w:basedOn w:val="Normal"/>
    <w:link w:val="ListParagraphChar"/>
    <w:uiPriority w:val="34"/>
    <w:qFormat/>
    <w:rsid w:val="00756E07"/>
    <w:pPr>
      <w:spacing w:after="240" w:line="240" w:lineRule="auto"/>
      <w:ind w:left="720"/>
      <w:contextualSpacing/>
    </w:pPr>
    <w:rPr>
      <w:rFonts w:ascii="Arial" w:eastAsiaTheme="minorHAnsi" w:hAnsi="Arial"/>
      <w:sz w:val="24"/>
    </w:rPr>
  </w:style>
  <w:style w:type="character" w:styleId="CommentReference">
    <w:name w:val="annotation reference"/>
    <w:basedOn w:val="DefaultParagraphFont"/>
    <w:uiPriority w:val="99"/>
    <w:unhideWhenUsed/>
    <w:rsid w:val="00756E07"/>
    <w:rPr>
      <w:sz w:val="16"/>
      <w:szCs w:val="16"/>
    </w:rPr>
  </w:style>
  <w:style w:type="paragraph" w:styleId="CommentText">
    <w:name w:val="annotation text"/>
    <w:basedOn w:val="Normal"/>
    <w:link w:val="CommentTextChar"/>
    <w:uiPriority w:val="99"/>
    <w:unhideWhenUsed/>
    <w:rsid w:val="00756E07"/>
    <w:pPr>
      <w:spacing w:after="240" w:line="240" w:lineRule="auto"/>
    </w:pPr>
    <w:rPr>
      <w:rFonts w:ascii="Arial" w:eastAsiaTheme="minorHAnsi" w:hAnsi="Arial"/>
      <w:sz w:val="20"/>
      <w:szCs w:val="20"/>
    </w:rPr>
  </w:style>
  <w:style w:type="character" w:customStyle="1" w:styleId="CommentTextChar">
    <w:name w:val="Comment Text Char"/>
    <w:basedOn w:val="DefaultParagraphFont"/>
    <w:link w:val="CommentText"/>
    <w:uiPriority w:val="99"/>
    <w:rsid w:val="00756E07"/>
    <w:rPr>
      <w:rFonts w:ascii="Arial" w:eastAsiaTheme="minorHAnsi" w:hAnsi="Arial"/>
      <w:sz w:val="20"/>
      <w:szCs w:val="20"/>
    </w:rPr>
  </w:style>
  <w:style w:type="character" w:customStyle="1" w:styleId="ListParagraphChar">
    <w:name w:val="List Paragraph Char"/>
    <w:basedOn w:val="DefaultParagraphFont"/>
    <w:link w:val="ListParagraph"/>
    <w:uiPriority w:val="34"/>
    <w:rsid w:val="00756E07"/>
    <w:rPr>
      <w:rFonts w:ascii="Arial" w:eastAsiaTheme="minorHAnsi" w:hAnsi="Arial"/>
      <w:sz w:val="24"/>
    </w:rPr>
  </w:style>
  <w:style w:type="character" w:styleId="Hyperlink">
    <w:name w:val="Hyperlink"/>
    <w:basedOn w:val="DefaultParagraphFont"/>
    <w:uiPriority w:val="99"/>
    <w:unhideWhenUsed/>
    <w:rsid w:val="00756E07"/>
    <w:rPr>
      <w:rFonts w:ascii="Times New Roman" w:hAnsi="Times New Roman" w:cs="Times New Roman" w:hint="default"/>
      <w:color w:val="0000FF"/>
      <w:u w:val="single"/>
    </w:rPr>
  </w:style>
  <w:style w:type="paragraph" w:styleId="NormalWeb">
    <w:name w:val="Normal (Web)"/>
    <w:basedOn w:val="Normal"/>
    <w:uiPriority w:val="99"/>
    <w:unhideWhenUsed/>
    <w:rsid w:val="00756E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56E07"/>
  </w:style>
  <w:style w:type="paragraph" w:styleId="Revision">
    <w:name w:val="Revision"/>
    <w:hidden/>
    <w:uiPriority w:val="99"/>
    <w:semiHidden/>
    <w:rsid w:val="00BE3E3C"/>
    <w:pPr>
      <w:spacing w:after="0" w:line="240" w:lineRule="auto"/>
    </w:pPr>
  </w:style>
  <w:style w:type="paragraph" w:styleId="FootnoteText">
    <w:name w:val="footnote text"/>
    <w:basedOn w:val="Normal"/>
    <w:link w:val="FootnoteTextChar"/>
    <w:uiPriority w:val="99"/>
    <w:semiHidden/>
    <w:unhideWhenUsed/>
    <w:rsid w:val="00BE3E3C"/>
    <w:pPr>
      <w:spacing w:after="0" w:line="240" w:lineRule="auto"/>
    </w:pPr>
    <w:rPr>
      <w:rFonts w:ascii="Arial" w:eastAsiaTheme="minorHAnsi" w:hAnsi="Arial"/>
      <w:sz w:val="20"/>
      <w:szCs w:val="20"/>
    </w:rPr>
  </w:style>
  <w:style w:type="character" w:customStyle="1" w:styleId="FootnoteTextChar">
    <w:name w:val="Footnote Text Char"/>
    <w:basedOn w:val="DefaultParagraphFont"/>
    <w:link w:val="FootnoteText"/>
    <w:uiPriority w:val="99"/>
    <w:semiHidden/>
    <w:rsid w:val="00BE3E3C"/>
    <w:rPr>
      <w:rFonts w:ascii="Arial" w:eastAsiaTheme="minorHAnsi" w:hAnsi="Arial"/>
      <w:sz w:val="20"/>
      <w:szCs w:val="20"/>
    </w:rPr>
  </w:style>
  <w:style w:type="character" w:styleId="FootnoteReference">
    <w:name w:val="footnote reference"/>
    <w:basedOn w:val="DefaultParagraphFont"/>
    <w:uiPriority w:val="99"/>
    <w:semiHidden/>
    <w:unhideWhenUsed/>
    <w:rsid w:val="00BE3E3C"/>
    <w:rPr>
      <w:vertAlign w:val="superscript"/>
    </w:rPr>
  </w:style>
  <w:style w:type="paragraph" w:styleId="Header">
    <w:name w:val="header"/>
    <w:basedOn w:val="Normal"/>
    <w:link w:val="HeaderChar"/>
    <w:uiPriority w:val="99"/>
    <w:unhideWhenUsed/>
    <w:rsid w:val="002D0C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CED"/>
  </w:style>
  <w:style w:type="paragraph" w:styleId="Footer">
    <w:name w:val="footer"/>
    <w:basedOn w:val="Normal"/>
    <w:link w:val="FooterChar"/>
    <w:uiPriority w:val="99"/>
    <w:unhideWhenUsed/>
    <w:rsid w:val="002D0C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CED"/>
  </w:style>
  <w:style w:type="paragraph" w:styleId="CommentSubject">
    <w:name w:val="annotation subject"/>
    <w:basedOn w:val="CommentText"/>
    <w:next w:val="CommentText"/>
    <w:link w:val="CommentSubjectChar"/>
    <w:uiPriority w:val="99"/>
    <w:semiHidden/>
    <w:unhideWhenUsed/>
    <w:rsid w:val="0091049B"/>
    <w:pPr>
      <w:spacing w:after="160"/>
      <w:jc w:val="left"/>
    </w:pPr>
    <w:rPr>
      <w:rFonts w:asciiTheme="minorHAnsi" w:eastAsiaTheme="minorEastAsia" w:hAnsiTheme="minorHAnsi"/>
      <w:b/>
      <w:bCs/>
    </w:rPr>
  </w:style>
  <w:style w:type="character" w:customStyle="1" w:styleId="CommentSubjectChar">
    <w:name w:val="Comment Subject Char"/>
    <w:basedOn w:val="CommentTextChar"/>
    <w:link w:val="CommentSubject"/>
    <w:uiPriority w:val="99"/>
    <w:semiHidden/>
    <w:rsid w:val="0091049B"/>
    <w:rPr>
      <w:rFonts w:ascii="Arial" w:eastAsiaTheme="minorHAnsi" w:hAnsi="Arial"/>
      <w:b/>
      <w:bCs/>
      <w:sz w:val="20"/>
      <w:szCs w:val="20"/>
    </w:rPr>
  </w:style>
  <w:style w:type="paragraph" w:styleId="TOC1">
    <w:name w:val="toc 1"/>
    <w:basedOn w:val="Normal"/>
    <w:next w:val="Normal"/>
    <w:autoRedefine/>
    <w:uiPriority w:val="39"/>
    <w:unhideWhenUsed/>
    <w:rsid w:val="006A00A0"/>
    <w:pPr>
      <w:spacing w:after="120"/>
      <w:jc w:val="left"/>
    </w:pPr>
    <w:rPr>
      <w:b/>
      <w:bCs/>
      <w:caps/>
      <w:sz w:val="20"/>
      <w:szCs w:val="20"/>
    </w:rPr>
  </w:style>
  <w:style w:type="paragraph" w:styleId="TOC2">
    <w:name w:val="toc 2"/>
    <w:basedOn w:val="Normal"/>
    <w:next w:val="Normal"/>
    <w:autoRedefine/>
    <w:uiPriority w:val="39"/>
    <w:unhideWhenUsed/>
    <w:rsid w:val="009064B4"/>
    <w:pPr>
      <w:spacing w:after="0"/>
      <w:ind w:left="220"/>
      <w:jc w:val="left"/>
    </w:pPr>
    <w:rPr>
      <w:smallCaps/>
      <w:sz w:val="20"/>
      <w:szCs w:val="20"/>
    </w:rPr>
  </w:style>
  <w:style w:type="paragraph" w:styleId="TOC3">
    <w:name w:val="toc 3"/>
    <w:basedOn w:val="Normal"/>
    <w:next w:val="Normal"/>
    <w:autoRedefine/>
    <w:uiPriority w:val="39"/>
    <w:unhideWhenUsed/>
    <w:rsid w:val="00A57762"/>
    <w:pPr>
      <w:spacing w:after="0"/>
      <w:ind w:left="440"/>
      <w:jc w:val="left"/>
    </w:pPr>
    <w:rPr>
      <w:i/>
      <w:iCs/>
      <w:sz w:val="20"/>
      <w:szCs w:val="20"/>
    </w:rPr>
  </w:style>
  <w:style w:type="table" w:styleId="TableGrid">
    <w:name w:val="Table Grid"/>
    <w:basedOn w:val="TableNormal"/>
    <w:uiPriority w:val="59"/>
    <w:rsid w:val="00EB3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
    <w:name w:val="Grid Table 7 Colorful"/>
    <w:basedOn w:val="TableNormal"/>
    <w:uiPriority w:val="52"/>
    <w:rsid w:val="0037771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7Colorful">
    <w:name w:val="List Table 7 Colorful"/>
    <w:basedOn w:val="TableNormal"/>
    <w:uiPriority w:val="52"/>
    <w:rsid w:val="0037771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37771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37771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306BC4"/>
    <w:pPr>
      <w:autoSpaceDE w:val="0"/>
      <w:autoSpaceDN w:val="0"/>
      <w:adjustRightInd w:val="0"/>
      <w:spacing w:after="0" w:line="240" w:lineRule="auto"/>
    </w:pPr>
    <w:rPr>
      <w:rFonts w:ascii="Cambria" w:eastAsiaTheme="minorHAnsi" w:hAnsi="Cambria" w:cs="Cambria"/>
      <w:color w:val="000000"/>
      <w:sz w:val="24"/>
      <w:szCs w:val="24"/>
    </w:rPr>
  </w:style>
  <w:style w:type="character" w:customStyle="1" w:styleId="normaltextrun1">
    <w:name w:val="normaltextrun1"/>
    <w:basedOn w:val="DefaultParagraphFont"/>
    <w:rsid w:val="00756F30"/>
  </w:style>
  <w:style w:type="character" w:styleId="Mention">
    <w:name w:val="Mention"/>
    <w:basedOn w:val="DefaultParagraphFont"/>
    <w:uiPriority w:val="99"/>
    <w:unhideWhenUsed/>
    <w:rsid w:val="00576D2E"/>
    <w:rPr>
      <w:color w:val="2B579A"/>
      <w:shd w:val="clear" w:color="auto" w:fill="E1DFDD"/>
    </w:rPr>
  </w:style>
  <w:style w:type="paragraph" w:styleId="EndnoteText">
    <w:name w:val="endnote text"/>
    <w:basedOn w:val="Normal"/>
    <w:link w:val="EndnoteTextChar"/>
    <w:uiPriority w:val="99"/>
    <w:semiHidden/>
    <w:unhideWhenUsed/>
    <w:rsid w:val="00E30E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0E13"/>
    <w:rPr>
      <w:sz w:val="20"/>
      <w:szCs w:val="20"/>
    </w:rPr>
  </w:style>
  <w:style w:type="character" w:styleId="EndnoteReference">
    <w:name w:val="endnote reference"/>
    <w:basedOn w:val="DefaultParagraphFont"/>
    <w:uiPriority w:val="99"/>
    <w:semiHidden/>
    <w:unhideWhenUsed/>
    <w:rsid w:val="00E30E13"/>
    <w:rPr>
      <w:vertAlign w:val="superscript"/>
    </w:rPr>
  </w:style>
  <w:style w:type="paragraph" w:customStyle="1" w:styleId="BBBodyTextFlush">
    <w:name w:val="BB Body Text Flush"/>
    <w:basedOn w:val="Normal"/>
    <w:rsid w:val="004B261A"/>
    <w:pPr>
      <w:spacing w:after="240" w:line="240" w:lineRule="auto"/>
    </w:pPr>
    <w:rPr>
      <w:rFonts w:ascii="Times New Roman" w:eastAsia="Calibri" w:hAnsi="Times New Roman" w:cs="Times New Roman"/>
      <w:sz w:val="24"/>
      <w:szCs w:val="24"/>
    </w:rPr>
  </w:style>
  <w:style w:type="paragraph" w:customStyle="1" w:styleId="paragraphtitle">
    <w:name w:val="paragraph title"/>
    <w:basedOn w:val="Normal"/>
    <w:link w:val="paragraphtitleChar"/>
    <w:rsid w:val="00E02C42"/>
    <w:pPr>
      <w:keepNext/>
      <w:autoSpaceDE w:val="0"/>
      <w:autoSpaceDN w:val="0"/>
      <w:adjustRightInd w:val="0"/>
      <w:spacing w:after="0" w:line="240" w:lineRule="auto"/>
      <w:jc w:val="left"/>
    </w:pPr>
    <w:rPr>
      <w:rFonts w:ascii="Times New Roman" w:eastAsia="Times New Roman" w:hAnsi="Times New Roman" w:cs="Times New Roman"/>
      <w:b/>
      <w:bCs/>
      <w:color w:val="000080"/>
      <w:sz w:val="24"/>
      <w:szCs w:val="24"/>
    </w:rPr>
  </w:style>
  <w:style w:type="character" w:customStyle="1" w:styleId="paragraphtitleChar">
    <w:name w:val="paragraph title Char"/>
    <w:basedOn w:val="DefaultParagraphFont"/>
    <w:link w:val="paragraphtitle"/>
    <w:locked/>
    <w:rsid w:val="00E02C42"/>
    <w:rPr>
      <w:rFonts w:ascii="Times New Roman" w:eastAsia="Times New Roman" w:hAnsi="Times New Roman" w:cs="Times New Roman"/>
      <w:b/>
      <w:bCs/>
      <w:color w:val="000080"/>
      <w:sz w:val="24"/>
      <w:szCs w:val="24"/>
    </w:rPr>
  </w:style>
  <w:style w:type="table" w:styleId="GridTable1Light-Accent1">
    <w:name w:val="Grid Table 1 Light Accent 1"/>
    <w:basedOn w:val="TableNormal"/>
    <w:uiPriority w:val="46"/>
    <w:rsid w:val="004B5118"/>
    <w:pPr>
      <w:spacing w:after="0" w:line="240" w:lineRule="auto"/>
    </w:pPr>
    <w:rPr>
      <w:rFonts w:eastAsiaTheme="minorHAnsi"/>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Style1">
    <w:name w:val="Style1"/>
    <w:basedOn w:val="Normal"/>
    <w:link w:val="Style1Char"/>
    <w:uiPriority w:val="99"/>
    <w:rsid w:val="005E2B76"/>
    <w:pPr>
      <w:keepNext/>
      <w:autoSpaceDE w:val="0"/>
      <w:autoSpaceDN w:val="0"/>
      <w:adjustRightInd w:val="0"/>
      <w:spacing w:after="0" w:line="240" w:lineRule="auto"/>
      <w:jc w:val="left"/>
    </w:pPr>
    <w:rPr>
      <w:rFonts w:ascii="Times New Roman" w:eastAsia="Times New Roman" w:hAnsi="Times New Roman" w:cs="Times New Roman"/>
      <w:b/>
      <w:bCs/>
      <w:color w:val="000080"/>
      <w:sz w:val="24"/>
      <w:szCs w:val="24"/>
    </w:rPr>
  </w:style>
  <w:style w:type="character" w:customStyle="1" w:styleId="Style1Char">
    <w:name w:val="Style1 Char"/>
    <w:basedOn w:val="DefaultParagraphFont"/>
    <w:link w:val="Style1"/>
    <w:uiPriority w:val="99"/>
    <w:locked/>
    <w:rsid w:val="005E2B76"/>
    <w:rPr>
      <w:rFonts w:ascii="Times New Roman" w:eastAsia="Times New Roman" w:hAnsi="Times New Roman" w:cs="Times New Roman"/>
      <w:b/>
      <w:bCs/>
      <w:color w:val="000080"/>
      <w:sz w:val="24"/>
      <w:szCs w:val="24"/>
    </w:rPr>
  </w:style>
  <w:style w:type="paragraph" w:customStyle="1" w:styleId="FilingHeading2">
    <w:name w:val="Filing Heading 2"/>
    <w:basedOn w:val="Normal"/>
    <w:link w:val="FilingHeading2Char"/>
    <w:rsid w:val="00042615"/>
    <w:pPr>
      <w:spacing w:after="0" w:line="276" w:lineRule="auto"/>
    </w:pPr>
    <w:rPr>
      <w:rFonts w:ascii="Arial" w:hAnsi="Arial" w:cs="Arial"/>
      <w:b/>
      <w:bCs/>
      <w:sz w:val="24"/>
      <w:szCs w:val="24"/>
      <w:u w:val="single"/>
    </w:rPr>
  </w:style>
  <w:style w:type="character" w:customStyle="1" w:styleId="FilingHeading2Char">
    <w:name w:val="Filing Heading 2 Char"/>
    <w:basedOn w:val="DefaultParagraphFont"/>
    <w:link w:val="FilingHeading2"/>
    <w:rsid w:val="00042615"/>
    <w:rPr>
      <w:rFonts w:ascii="Arial" w:hAnsi="Arial" w:cs="Arial"/>
      <w:b/>
      <w:bCs/>
      <w:sz w:val="24"/>
      <w:szCs w:val="24"/>
      <w:u w:val="single"/>
    </w:rPr>
  </w:style>
  <w:style w:type="paragraph" w:styleId="BalloonText">
    <w:name w:val="Balloon Text"/>
    <w:basedOn w:val="Normal"/>
    <w:link w:val="BalloonTextChar"/>
    <w:uiPriority w:val="99"/>
    <w:semiHidden/>
    <w:unhideWhenUsed/>
    <w:rsid w:val="000D33E9"/>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D33E9"/>
    <w:rPr>
      <w:rFonts w:ascii="Segoe UI" w:eastAsiaTheme="minorHAnsi" w:hAnsi="Segoe UI" w:cs="Segoe UI"/>
      <w:sz w:val="18"/>
      <w:szCs w:val="18"/>
    </w:rPr>
  </w:style>
  <w:style w:type="paragraph" w:customStyle="1" w:styleId="BodyText1">
    <w:name w:val="Body Text 1"/>
    <w:basedOn w:val="Normal"/>
    <w:rsid w:val="000D33E9"/>
    <w:pPr>
      <w:spacing w:after="120" w:line="240" w:lineRule="auto"/>
    </w:pPr>
    <w:rPr>
      <w:rFonts w:ascii="Arial" w:eastAsiaTheme="minorHAnsi" w:hAnsi="Arial" w:cs="Arial"/>
      <w:sz w:val="24"/>
    </w:rPr>
  </w:style>
  <w:style w:type="paragraph" w:customStyle="1" w:styleId="xmsolistparagraph">
    <w:name w:val="x_msolistparagraph"/>
    <w:basedOn w:val="Normal"/>
    <w:rsid w:val="000D33E9"/>
    <w:pPr>
      <w:spacing w:after="0" w:line="240" w:lineRule="auto"/>
      <w:ind w:left="720"/>
    </w:pPr>
    <w:rPr>
      <w:rFonts w:ascii="Calibri" w:eastAsiaTheme="minorHAnsi" w:hAnsi="Calibri" w:cs="Calibri"/>
      <w:sz w:val="24"/>
    </w:rPr>
  </w:style>
  <w:style w:type="paragraph" w:customStyle="1" w:styleId="xmsonormal">
    <w:name w:val="x_msonormal"/>
    <w:basedOn w:val="Normal"/>
    <w:rsid w:val="000D33E9"/>
    <w:pPr>
      <w:spacing w:after="0" w:line="240" w:lineRule="auto"/>
    </w:pPr>
    <w:rPr>
      <w:rFonts w:ascii="Calibri" w:eastAsiaTheme="minorHAnsi" w:hAnsi="Calibri" w:cs="Calibri"/>
      <w:sz w:val="24"/>
    </w:rPr>
  </w:style>
  <w:style w:type="paragraph" w:styleId="PlainText">
    <w:name w:val="Plain Text"/>
    <w:basedOn w:val="Normal"/>
    <w:link w:val="PlainTextChar"/>
    <w:uiPriority w:val="99"/>
    <w:unhideWhenUsed/>
    <w:rsid w:val="000D33E9"/>
    <w:pPr>
      <w:spacing w:after="0" w:line="240" w:lineRule="auto"/>
    </w:pPr>
    <w:rPr>
      <w:rFonts w:ascii="Calibri" w:eastAsiaTheme="minorHAnsi" w:hAnsi="Calibri"/>
      <w:sz w:val="24"/>
      <w:szCs w:val="21"/>
    </w:rPr>
  </w:style>
  <w:style w:type="character" w:customStyle="1" w:styleId="PlainTextChar">
    <w:name w:val="Plain Text Char"/>
    <w:basedOn w:val="DefaultParagraphFont"/>
    <w:link w:val="PlainText"/>
    <w:uiPriority w:val="99"/>
    <w:rsid w:val="000D33E9"/>
    <w:rPr>
      <w:rFonts w:ascii="Calibri" w:eastAsiaTheme="minorHAnsi" w:hAnsi="Calibri"/>
      <w:sz w:val="24"/>
      <w:szCs w:val="21"/>
    </w:rPr>
  </w:style>
  <w:style w:type="character" w:styleId="UnresolvedMention">
    <w:name w:val="Unresolved Mention"/>
    <w:basedOn w:val="DefaultParagraphFont"/>
    <w:uiPriority w:val="99"/>
    <w:unhideWhenUsed/>
    <w:rsid w:val="000D33E9"/>
    <w:rPr>
      <w:color w:val="605E5C"/>
      <w:shd w:val="clear" w:color="auto" w:fill="E1DFDD"/>
    </w:rPr>
  </w:style>
  <w:style w:type="character" w:customStyle="1" w:styleId="eop">
    <w:name w:val="eop"/>
    <w:basedOn w:val="DefaultParagraphFont"/>
    <w:rsid w:val="000D33E9"/>
  </w:style>
  <w:style w:type="character" w:customStyle="1" w:styleId="scxw93638708">
    <w:name w:val="scxw93638708"/>
    <w:basedOn w:val="DefaultParagraphFont"/>
    <w:rsid w:val="000D33E9"/>
  </w:style>
  <w:style w:type="paragraph" w:customStyle="1" w:styleId="paragraph">
    <w:name w:val="paragraph"/>
    <w:basedOn w:val="Normal"/>
    <w:rsid w:val="000D33E9"/>
    <w:pPr>
      <w:spacing w:after="0" w:line="240" w:lineRule="auto"/>
    </w:pPr>
    <w:rPr>
      <w:rFonts w:ascii="Times New Roman" w:eastAsia="Times New Roman" w:hAnsi="Times New Roman" w:cs="Times New Roman"/>
      <w:sz w:val="24"/>
      <w:szCs w:val="24"/>
    </w:rPr>
  </w:style>
  <w:style w:type="paragraph" w:customStyle="1" w:styleId="xxmsonormal">
    <w:name w:val="x_x_msonormal"/>
    <w:basedOn w:val="Normal"/>
    <w:rsid w:val="000D33E9"/>
    <w:pPr>
      <w:spacing w:after="0" w:line="240" w:lineRule="auto"/>
    </w:pPr>
    <w:rPr>
      <w:rFonts w:ascii="Calibri" w:eastAsiaTheme="minorHAnsi" w:hAnsi="Calibri" w:cs="Calibri"/>
      <w:sz w:val="24"/>
    </w:rPr>
  </w:style>
  <w:style w:type="character" w:styleId="FollowedHyperlink">
    <w:name w:val="FollowedHyperlink"/>
    <w:basedOn w:val="DefaultParagraphFont"/>
    <w:uiPriority w:val="99"/>
    <w:semiHidden/>
    <w:unhideWhenUsed/>
    <w:rsid w:val="000D33E9"/>
    <w:rPr>
      <w:color w:val="954F72" w:themeColor="followedHyperlink"/>
      <w:u w:val="single"/>
    </w:rPr>
  </w:style>
  <w:style w:type="paragraph" w:customStyle="1" w:styleId="psection-1">
    <w:name w:val="psection-1"/>
    <w:basedOn w:val="Normal"/>
    <w:rsid w:val="000D33E9"/>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enumxml">
    <w:name w:val="enumxml"/>
    <w:basedOn w:val="DefaultParagraphFont"/>
    <w:rsid w:val="000D33E9"/>
  </w:style>
  <w:style w:type="character" w:styleId="PageNumber">
    <w:name w:val="page number"/>
    <w:basedOn w:val="DefaultParagraphFont"/>
    <w:rsid w:val="000D33E9"/>
    <w:rPr>
      <w:rFonts w:cs="Times New Roman"/>
    </w:rPr>
  </w:style>
  <w:style w:type="character" w:customStyle="1" w:styleId="cf01">
    <w:name w:val="cf01"/>
    <w:basedOn w:val="DefaultParagraphFont"/>
    <w:rsid w:val="00AA5062"/>
    <w:rPr>
      <w:rFonts w:ascii="Segoe UI" w:hAnsi="Segoe UI" w:cs="Segoe UI" w:hint="default"/>
      <w:sz w:val="18"/>
      <w:szCs w:val="18"/>
    </w:rPr>
  </w:style>
  <w:style w:type="character" w:customStyle="1" w:styleId="ui-provider">
    <w:name w:val="ui-provider"/>
    <w:basedOn w:val="DefaultParagraphFont"/>
    <w:rsid w:val="00854013"/>
  </w:style>
  <w:style w:type="character" w:customStyle="1" w:styleId="cf11">
    <w:name w:val="cf11"/>
    <w:basedOn w:val="DefaultParagraphFont"/>
    <w:rsid w:val="000D7E77"/>
    <w:rPr>
      <w:rFonts w:ascii="Segoe UI" w:hAnsi="Segoe UI" w:cs="Segoe UI" w:hint="default"/>
      <w:color w:val="2B579A"/>
      <w:sz w:val="18"/>
      <w:szCs w:val="18"/>
      <w:shd w:val="clear" w:color="auto" w:fill="E1DFDD"/>
    </w:rPr>
  </w:style>
  <w:style w:type="character" w:customStyle="1" w:styleId="findhit">
    <w:name w:val="findhit"/>
    <w:basedOn w:val="DefaultParagraphFont"/>
    <w:rsid w:val="00272F7C"/>
  </w:style>
  <w:style w:type="table" w:styleId="ListTable4-Accent1">
    <w:name w:val="List Table 4 Accent 1"/>
    <w:basedOn w:val="TableNormal"/>
    <w:uiPriority w:val="49"/>
    <w:rsid w:val="000A1E3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Heading3noTOC">
    <w:name w:val="Heading 3 (no TOC)"/>
    <w:basedOn w:val="Normal"/>
    <w:link w:val="Heading3noTOCChar"/>
    <w:qFormat/>
    <w:rsid w:val="005A34A5"/>
    <w:pPr>
      <w:spacing w:before="160" w:after="80"/>
    </w:pPr>
    <w:rPr>
      <w:rFonts w:asciiTheme="majorHAnsi" w:hAnsiTheme="majorHAnsi"/>
      <w:i/>
      <w:color w:val="1F3864" w:themeColor="accent1" w:themeShade="80"/>
      <w:sz w:val="28"/>
      <w:szCs w:val="28"/>
    </w:rPr>
  </w:style>
  <w:style w:type="character" w:customStyle="1" w:styleId="Heading3noTOCChar">
    <w:name w:val="Heading 3 (no TOC) Char"/>
    <w:basedOn w:val="DefaultParagraphFont"/>
    <w:link w:val="Heading3noTOC"/>
    <w:rsid w:val="005A34A5"/>
    <w:rPr>
      <w:rFonts w:asciiTheme="majorHAnsi" w:hAnsiTheme="majorHAnsi"/>
      <w:i/>
      <w:color w:val="1F3864" w:themeColor="accent1" w:themeShade="80"/>
      <w:sz w:val="28"/>
      <w:szCs w:val="28"/>
    </w:rPr>
  </w:style>
  <w:style w:type="paragraph" w:customStyle="1" w:styleId="Smallheading3notoc">
    <w:name w:val="Small heading 3 (no toc)"/>
    <w:basedOn w:val="Heading3noTOC"/>
    <w:link w:val="Smallheading3notocChar"/>
    <w:qFormat/>
    <w:rsid w:val="005A34A5"/>
    <w:rPr>
      <w:i w:val="0"/>
      <w:sz w:val="24"/>
      <w:szCs w:val="24"/>
    </w:rPr>
  </w:style>
  <w:style w:type="character" w:customStyle="1" w:styleId="Smallheading3notocChar">
    <w:name w:val="Small heading 3 (no toc) Char"/>
    <w:basedOn w:val="Heading3noTOCChar"/>
    <w:link w:val="Smallheading3notoc"/>
    <w:rsid w:val="005A34A5"/>
    <w:rPr>
      <w:rFonts w:asciiTheme="majorHAnsi" w:hAnsiTheme="majorHAnsi"/>
      <w:i w:val="0"/>
      <w:color w:val="1F3864" w:themeColor="accent1" w:themeShade="80"/>
      <w:sz w:val="24"/>
      <w:szCs w:val="24"/>
    </w:rPr>
  </w:style>
  <w:style w:type="paragraph" w:styleId="TOC4">
    <w:name w:val="toc 4"/>
    <w:basedOn w:val="Normal"/>
    <w:next w:val="Normal"/>
    <w:autoRedefine/>
    <w:uiPriority w:val="39"/>
    <w:unhideWhenUsed/>
    <w:rsid w:val="005A34A5"/>
    <w:pPr>
      <w:spacing w:after="0"/>
      <w:ind w:left="660"/>
      <w:jc w:val="left"/>
    </w:pPr>
    <w:rPr>
      <w:sz w:val="18"/>
      <w:szCs w:val="18"/>
    </w:rPr>
  </w:style>
  <w:style w:type="paragraph" w:styleId="TOC5">
    <w:name w:val="toc 5"/>
    <w:basedOn w:val="Normal"/>
    <w:next w:val="Normal"/>
    <w:autoRedefine/>
    <w:uiPriority w:val="39"/>
    <w:unhideWhenUsed/>
    <w:rsid w:val="005A34A5"/>
    <w:pPr>
      <w:spacing w:after="0"/>
      <w:ind w:left="880"/>
      <w:jc w:val="left"/>
    </w:pPr>
    <w:rPr>
      <w:sz w:val="18"/>
      <w:szCs w:val="18"/>
    </w:rPr>
  </w:style>
  <w:style w:type="paragraph" w:styleId="TOC6">
    <w:name w:val="toc 6"/>
    <w:basedOn w:val="Normal"/>
    <w:next w:val="Normal"/>
    <w:autoRedefine/>
    <w:uiPriority w:val="39"/>
    <w:unhideWhenUsed/>
    <w:rsid w:val="005A34A5"/>
    <w:pPr>
      <w:spacing w:after="0"/>
      <w:ind w:left="1100"/>
      <w:jc w:val="left"/>
    </w:pPr>
    <w:rPr>
      <w:sz w:val="18"/>
      <w:szCs w:val="18"/>
    </w:rPr>
  </w:style>
  <w:style w:type="paragraph" w:styleId="TOC7">
    <w:name w:val="toc 7"/>
    <w:basedOn w:val="Normal"/>
    <w:next w:val="Normal"/>
    <w:autoRedefine/>
    <w:uiPriority w:val="39"/>
    <w:unhideWhenUsed/>
    <w:rsid w:val="005A34A5"/>
    <w:pPr>
      <w:spacing w:after="0"/>
      <w:ind w:left="1320"/>
      <w:jc w:val="left"/>
    </w:pPr>
    <w:rPr>
      <w:sz w:val="18"/>
      <w:szCs w:val="18"/>
    </w:rPr>
  </w:style>
  <w:style w:type="paragraph" w:styleId="TOC8">
    <w:name w:val="toc 8"/>
    <w:basedOn w:val="Normal"/>
    <w:next w:val="Normal"/>
    <w:autoRedefine/>
    <w:uiPriority w:val="39"/>
    <w:unhideWhenUsed/>
    <w:rsid w:val="005A34A5"/>
    <w:pPr>
      <w:spacing w:after="0"/>
      <w:ind w:left="1540"/>
      <w:jc w:val="left"/>
    </w:pPr>
    <w:rPr>
      <w:sz w:val="18"/>
      <w:szCs w:val="18"/>
    </w:rPr>
  </w:style>
  <w:style w:type="paragraph" w:styleId="TOC9">
    <w:name w:val="toc 9"/>
    <w:basedOn w:val="Normal"/>
    <w:next w:val="Normal"/>
    <w:autoRedefine/>
    <w:uiPriority w:val="39"/>
    <w:unhideWhenUsed/>
    <w:rsid w:val="005A34A5"/>
    <w:pPr>
      <w:spacing w:after="0"/>
      <w:ind w:left="176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8022">
      <w:bodyDiv w:val="1"/>
      <w:marLeft w:val="0"/>
      <w:marRight w:val="0"/>
      <w:marTop w:val="0"/>
      <w:marBottom w:val="0"/>
      <w:divBdr>
        <w:top w:val="none" w:sz="0" w:space="0" w:color="auto"/>
        <w:left w:val="none" w:sz="0" w:space="0" w:color="auto"/>
        <w:bottom w:val="none" w:sz="0" w:space="0" w:color="auto"/>
        <w:right w:val="none" w:sz="0" w:space="0" w:color="auto"/>
      </w:divBdr>
    </w:div>
    <w:div w:id="135416998">
      <w:bodyDiv w:val="1"/>
      <w:marLeft w:val="0"/>
      <w:marRight w:val="0"/>
      <w:marTop w:val="0"/>
      <w:marBottom w:val="0"/>
      <w:divBdr>
        <w:top w:val="none" w:sz="0" w:space="0" w:color="auto"/>
        <w:left w:val="none" w:sz="0" w:space="0" w:color="auto"/>
        <w:bottom w:val="none" w:sz="0" w:space="0" w:color="auto"/>
        <w:right w:val="none" w:sz="0" w:space="0" w:color="auto"/>
      </w:divBdr>
    </w:div>
    <w:div w:id="164247754">
      <w:bodyDiv w:val="1"/>
      <w:marLeft w:val="0"/>
      <w:marRight w:val="0"/>
      <w:marTop w:val="0"/>
      <w:marBottom w:val="0"/>
      <w:divBdr>
        <w:top w:val="none" w:sz="0" w:space="0" w:color="auto"/>
        <w:left w:val="none" w:sz="0" w:space="0" w:color="auto"/>
        <w:bottom w:val="none" w:sz="0" w:space="0" w:color="auto"/>
        <w:right w:val="none" w:sz="0" w:space="0" w:color="auto"/>
      </w:divBdr>
    </w:div>
    <w:div w:id="190264687">
      <w:bodyDiv w:val="1"/>
      <w:marLeft w:val="0"/>
      <w:marRight w:val="0"/>
      <w:marTop w:val="0"/>
      <w:marBottom w:val="0"/>
      <w:divBdr>
        <w:top w:val="none" w:sz="0" w:space="0" w:color="auto"/>
        <w:left w:val="none" w:sz="0" w:space="0" w:color="auto"/>
        <w:bottom w:val="none" w:sz="0" w:space="0" w:color="auto"/>
        <w:right w:val="none" w:sz="0" w:space="0" w:color="auto"/>
      </w:divBdr>
    </w:div>
    <w:div w:id="205022824">
      <w:bodyDiv w:val="1"/>
      <w:marLeft w:val="0"/>
      <w:marRight w:val="0"/>
      <w:marTop w:val="0"/>
      <w:marBottom w:val="0"/>
      <w:divBdr>
        <w:top w:val="none" w:sz="0" w:space="0" w:color="auto"/>
        <w:left w:val="none" w:sz="0" w:space="0" w:color="auto"/>
        <w:bottom w:val="none" w:sz="0" w:space="0" w:color="auto"/>
        <w:right w:val="none" w:sz="0" w:space="0" w:color="auto"/>
      </w:divBdr>
    </w:div>
    <w:div w:id="213547244">
      <w:bodyDiv w:val="1"/>
      <w:marLeft w:val="0"/>
      <w:marRight w:val="0"/>
      <w:marTop w:val="0"/>
      <w:marBottom w:val="0"/>
      <w:divBdr>
        <w:top w:val="none" w:sz="0" w:space="0" w:color="auto"/>
        <w:left w:val="none" w:sz="0" w:space="0" w:color="auto"/>
        <w:bottom w:val="none" w:sz="0" w:space="0" w:color="auto"/>
        <w:right w:val="none" w:sz="0" w:space="0" w:color="auto"/>
      </w:divBdr>
    </w:div>
    <w:div w:id="273901182">
      <w:bodyDiv w:val="1"/>
      <w:marLeft w:val="0"/>
      <w:marRight w:val="0"/>
      <w:marTop w:val="0"/>
      <w:marBottom w:val="0"/>
      <w:divBdr>
        <w:top w:val="none" w:sz="0" w:space="0" w:color="auto"/>
        <w:left w:val="none" w:sz="0" w:space="0" w:color="auto"/>
        <w:bottom w:val="none" w:sz="0" w:space="0" w:color="auto"/>
        <w:right w:val="none" w:sz="0" w:space="0" w:color="auto"/>
      </w:divBdr>
    </w:div>
    <w:div w:id="383257149">
      <w:bodyDiv w:val="1"/>
      <w:marLeft w:val="0"/>
      <w:marRight w:val="0"/>
      <w:marTop w:val="0"/>
      <w:marBottom w:val="0"/>
      <w:divBdr>
        <w:top w:val="none" w:sz="0" w:space="0" w:color="auto"/>
        <w:left w:val="none" w:sz="0" w:space="0" w:color="auto"/>
        <w:bottom w:val="none" w:sz="0" w:space="0" w:color="auto"/>
        <w:right w:val="none" w:sz="0" w:space="0" w:color="auto"/>
      </w:divBdr>
    </w:div>
    <w:div w:id="391393158">
      <w:bodyDiv w:val="1"/>
      <w:marLeft w:val="0"/>
      <w:marRight w:val="0"/>
      <w:marTop w:val="0"/>
      <w:marBottom w:val="0"/>
      <w:divBdr>
        <w:top w:val="none" w:sz="0" w:space="0" w:color="auto"/>
        <w:left w:val="none" w:sz="0" w:space="0" w:color="auto"/>
        <w:bottom w:val="none" w:sz="0" w:space="0" w:color="auto"/>
        <w:right w:val="none" w:sz="0" w:space="0" w:color="auto"/>
      </w:divBdr>
    </w:div>
    <w:div w:id="597103267">
      <w:bodyDiv w:val="1"/>
      <w:marLeft w:val="0"/>
      <w:marRight w:val="0"/>
      <w:marTop w:val="0"/>
      <w:marBottom w:val="0"/>
      <w:divBdr>
        <w:top w:val="none" w:sz="0" w:space="0" w:color="auto"/>
        <w:left w:val="none" w:sz="0" w:space="0" w:color="auto"/>
        <w:bottom w:val="none" w:sz="0" w:space="0" w:color="auto"/>
        <w:right w:val="none" w:sz="0" w:space="0" w:color="auto"/>
      </w:divBdr>
    </w:div>
    <w:div w:id="671496168">
      <w:bodyDiv w:val="1"/>
      <w:marLeft w:val="0"/>
      <w:marRight w:val="0"/>
      <w:marTop w:val="0"/>
      <w:marBottom w:val="0"/>
      <w:divBdr>
        <w:top w:val="none" w:sz="0" w:space="0" w:color="auto"/>
        <w:left w:val="none" w:sz="0" w:space="0" w:color="auto"/>
        <w:bottom w:val="none" w:sz="0" w:space="0" w:color="auto"/>
        <w:right w:val="none" w:sz="0" w:space="0" w:color="auto"/>
      </w:divBdr>
    </w:div>
    <w:div w:id="828139164">
      <w:bodyDiv w:val="1"/>
      <w:marLeft w:val="0"/>
      <w:marRight w:val="0"/>
      <w:marTop w:val="0"/>
      <w:marBottom w:val="0"/>
      <w:divBdr>
        <w:top w:val="none" w:sz="0" w:space="0" w:color="auto"/>
        <w:left w:val="none" w:sz="0" w:space="0" w:color="auto"/>
        <w:bottom w:val="none" w:sz="0" w:space="0" w:color="auto"/>
        <w:right w:val="none" w:sz="0" w:space="0" w:color="auto"/>
      </w:divBdr>
    </w:div>
    <w:div w:id="830371412">
      <w:bodyDiv w:val="1"/>
      <w:marLeft w:val="0"/>
      <w:marRight w:val="0"/>
      <w:marTop w:val="0"/>
      <w:marBottom w:val="0"/>
      <w:divBdr>
        <w:top w:val="none" w:sz="0" w:space="0" w:color="auto"/>
        <w:left w:val="none" w:sz="0" w:space="0" w:color="auto"/>
        <w:bottom w:val="none" w:sz="0" w:space="0" w:color="auto"/>
        <w:right w:val="none" w:sz="0" w:space="0" w:color="auto"/>
      </w:divBdr>
    </w:div>
    <w:div w:id="858664835">
      <w:bodyDiv w:val="1"/>
      <w:marLeft w:val="0"/>
      <w:marRight w:val="0"/>
      <w:marTop w:val="0"/>
      <w:marBottom w:val="0"/>
      <w:divBdr>
        <w:top w:val="none" w:sz="0" w:space="0" w:color="auto"/>
        <w:left w:val="none" w:sz="0" w:space="0" w:color="auto"/>
        <w:bottom w:val="none" w:sz="0" w:space="0" w:color="auto"/>
        <w:right w:val="none" w:sz="0" w:space="0" w:color="auto"/>
      </w:divBdr>
    </w:div>
    <w:div w:id="866287546">
      <w:bodyDiv w:val="1"/>
      <w:marLeft w:val="0"/>
      <w:marRight w:val="0"/>
      <w:marTop w:val="0"/>
      <w:marBottom w:val="0"/>
      <w:divBdr>
        <w:top w:val="none" w:sz="0" w:space="0" w:color="auto"/>
        <w:left w:val="none" w:sz="0" w:space="0" w:color="auto"/>
        <w:bottom w:val="none" w:sz="0" w:space="0" w:color="auto"/>
        <w:right w:val="none" w:sz="0" w:space="0" w:color="auto"/>
      </w:divBdr>
      <w:divsChild>
        <w:div w:id="1017854491">
          <w:marLeft w:val="0"/>
          <w:marRight w:val="0"/>
          <w:marTop w:val="0"/>
          <w:marBottom w:val="120"/>
          <w:divBdr>
            <w:top w:val="none" w:sz="0" w:space="0" w:color="auto"/>
            <w:left w:val="none" w:sz="0" w:space="0" w:color="auto"/>
            <w:bottom w:val="none" w:sz="0" w:space="0" w:color="auto"/>
            <w:right w:val="none" w:sz="0" w:space="0" w:color="auto"/>
          </w:divBdr>
          <w:divsChild>
            <w:div w:id="1184324499">
              <w:marLeft w:val="0"/>
              <w:marRight w:val="0"/>
              <w:marTop w:val="0"/>
              <w:marBottom w:val="0"/>
              <w:divBdr>
                <w:top w:val="none" w:sz="0" w:space="0" w:color="auto"/>
                <w:left w:val="none" w:sz="0" w:space="0" w:color="auto"/>
                <w:bottom w:val="none" w:sz="0" w:space="0" w:color="auto"/>
                <w:right w:val="none" w:sz="0" w:space="0" w:color="auto"/>
              </w:divBdr>
            </w:div>
          </w:divsChild>
        </w:div>
        <w:div w:id="1104812339">
          <w:marLeft w:val="0"/>
          <w:marRight w:val="0"/>
          <w:marTop w:val="0"/>
          <w:marBottom w:val="120"/>
          <w:divBdr>
            <w:top w:val="none" w:sz="0" w:space="0" w:color="auto"/>
            <w:left w:val="none" w:sz="0" w:space="0" w:color="auto"/>
            <w:bottom w:val="none" w:sz="0" w:space="0" w:color="auto"/>
            <w:right w:val="none" w:sz="0" w:space="0" w:color="auto"/>
          </w:divBdr>
          <w:divsChild>
            <w:div w:id="154081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212688">
      <w:bodyDiv w:val="1"/>
      <w:marLeft w:val="0"/>
      <w:marRight w:val="0"/>
      <w:marTop w:val="0"/>
      <w:marBottom w:val="0"/>
      <w:divBdr>
        <w:top w:val="none" w:sz="0" w:space="0" w:color="auto"/>
        <w:left w:val="none" w:sz="0" w:space="0" w:color="auto"/>
        <w:bottom w:val="none" w:sz="0" w:space="0" w:color="auto"/>
        <w:right w:val="none" w:sz="0" w:space="0" w:color="auto"/>
      </w:divBdr>
      <w:divsChild>
        <w:div w:id="1135489849">
          <w:marLeft w:val="0"/>
          <w:marRight w:val="0"/>
          <w:marTop w:val="375"/>
          <w:marBottom w:val="225"/>
          <w:divBdr>
            <w:top w:val="none" w:sz="0" w:space="0" w:color="auto"/>
            <w:left w:val="none" w:sz="0" w:space="0" w:color="auto"/>
            <w:bottom w:val="none" w:sz="0" w:space="0" w:color="auto"/>
            <w:right w:val="none" w:sz="0" w:space="0" w:color="auto"/>
          </w:divBdr>
          <w:divsChild>
            <w:div w:id="148500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84107">
      <w:bodyDiv w:val="1"/>
      <w:marLeft w:val="0"/>
      <w:marRight w:val="0"/>
      <w:marTop w:val="0"/>
      <w:marBottom w:val="0"/>
      <w:divBdr>
        <w:top w:val="none" w:sz="0" w:space="0" w:color="auto"/>
        <w:left w:val="none" w:sz="0" w:space="0" w:color="auto"/>
        <w:bottom w:val="none" w:sz="0" w:space="0" w:color="auto"/>
        <w:right w:val="none" w:sz="0" w:space="0" w:color="auto"/>
      </w:divBdr>
    </w:div>
    <w:div w:id="1006518493">
      <w:bodyDiv w:val="1"/>
      <w:marLeft w:val="0"/>
      <w:marRight w:val="0"/>
      <w:marTop w:val="0"/>
      <w:marBottom w:val="0"/>
      <w:divBdr>
        <w:top w:val="none" w:sz="0" w:space="0" w:color="auto"/>
        <w:left w:val="none" w:sz="0" w:space="0" w:color="auto"/>
        <w:bottom w:val="none" w:sz="0" w:space="0" w:color="auto"/>
        <w:right w:val="none" w:sz="0" w:space="0" w:color="auto"/>
      </w:divBdr>
    </w:div>
    <w:div w:id="1019696026">
      <w:bodyDiv w:val="1"/>
      <w:marLeft w:val="0"/>
      <w:marRight w:val="0"/>
      <w:marTop w:val="0"/>
      <w:marBottom w:val="0"/>
      <w:divBdr>
        <w:top w:val="none" w:sz="0" w:space="0" w:color="auto"/>
        <w:left w:val="none" w:sz="0" w:space="0" w:color="auto"/>
        <w:bottom w:val="none" w:sz="0" w:space="0" w:color="auto"/>
        <w:right w:val="none" w:sz="0" w:space="0" w:color="auto"/>
      </w:divBdr>
    </w:div>
    <w:div w:id="1040057188">
      <w:bodyDiv w:val="1"/>
      <w:marLeft w:val="0"/>
      <w:marRight w:val="0"/>
      <w:marTop w:val="0"/>
      <w:marBottom w:val="0"/>
      <w:divBdr>
        <w:top w:val="none" w:sz="0" w:space="0" w:color="auto"/>
        <w:left w:val="none" w:sz="0" w:space="0" w:color="auto"/>
        <w:bottom w:val="none" w:sz="0" w:space="0" w:color="auto"/>
        <w:right w:val="none" w:sz="0" w:space="0" w:color="auto"/>
      </w:divBdr>
    </w:div>
    <w:div w:id="1127434387">
      <w:bodyDiv w:val="1"/>
      <w:marLeft w:val="0"/>
      <w:marRight w:val="0"/>
      <w:marTop w:val="0"/>
      <w:marBottom w:val="0"/>
      <w:divBdr>
        <w:top w:val="none" w:sz="0" w:space="0" w:color="auto"/>
        <w:left w:val="none" w:sz="0" w:space="0" w:color="auto"/>
        <w:bottom w:val="none" w:sz="0" w:space="0" w:color="auto"/>
        <w:right w:val="none" w:sz="0" w:space="0" w:color="auto"/>
      </w:divBdr>
    </w:div>
    <w:div w:id="1175610440">
      <w:bodyDiv w:val="1"/>
      <w:marLeft w:val="0"/>
      <w:marRight w:val="0"/>
      <w:marTop w:val="0"/>
      <w:marBottom w:val="0"/>
      <w:divBdr>
        <w:top w:val="none" w:sz="0" w:space="0" w:color="auto"/>
        <w:left w:val="none" w:sz="0" w:space="0" w:color="auto"/>
        <w:bottom w:val="none" w:sz="0" w:space="0" w:color="auto"/>
        <w:right w:val="none" w:sz="0" w:space="0" w:color="auto"/>
      </w:divBdr>
    </w:div>
    <w:div w:id="1185245109">
      <w:bodyDiv w:val="1"/>
      <w:marLeft w:val="0"/>
      <w:marRight w:val="0"/>
      <w:marTop w:val="0"/>
      <w:marBottom w:val="0"/>
      <w:divBdr>
        <w:top w:val="none" w:sz="0" w:space="0" w:color="auto"/>
        <w:left w:val="none" w:sz="0" w:space="0" w:color="auto"/>
        <w:bottom w:val="none" w:sz="0" w:space="0" w:color="auto"/>
        <w:right w:val="none" w:sz="0" w:space="0" w:color="auto"/>
      </w:divBdr>
    </w:div>
    <w:div w:id="1241479459">
      <w:bodyDiv w:val="1"/>
      <w:marLeft w:val="0"/>
      <w:marRight w:val="0"/>
      <w:marTop w:val="0"/>
      <w:marBottom w:val="0"/>
      <w:divBdr>
        <w:top w:val="none" w:sz="0" w:space="0" w:color="auto"/>
        <w:left w:val="none" w:sz="0" w:space="0" w:color="auto"/>
        <w:bottom w:val="none" w:sz="0" w:space="0" w:color="auto"/>
        <w:right w:val="none" w:sz="0" w:space="0" w:color="auto"/>
      </w:divBdr>
    </w:div>
    <w:div w:id="1275137625">
      <w:bodyDiv w:val="1"/>
      <w:marLeft w:val="0"/>
      <w:marRight w:val="0"/>
      <w:marTop w:val="0"/>
      <w:marBottom w:val="0"/>
      <w:divBdr>
        <w:top w:val="none" w:sz="0" w:space="0" w:color="auto"/>
        <w:left w:val="none" w:sz="0" w:space="0" w:color="auto"/>
        <w:bottom w:val="none" w:sz="0" w:space="0" w:color="auto"/>
        <w:right w:val="none" w:sz="0" w:space="0" w:color="auto"/>
      </w:divBdr>
    </w:div>
    <w:div w:id="1311639610">
      <w:bodyDiv w:val="1"/>
      <w:marLeft w:val="0"/>
      <w:marRight w:val="0"/>
      <w:marTop w:val="0"/>
      <w:marBottom w:val="0"/>
      <w:divBdr>
        <w:top w:val="none" w:sz="0" w:space="0" w:color="auto"/>
        <w:left w:val="none" w:sz="0" w:space="0" w:color="auto"/>
        <w:bottom w:val="none" w:sz="0" w:space="0" w:color="auto"/>
        <w:right w:val="none" w:sz="0" w:space="0" w:color="auto"/>
      </w:divBdr>
    </w:div>
    <w:div w:id="1319725499">
      <w:bodyDiv w:val="1"/>
      <w:marLeft w:val="0"/>
      <w:marRight w:val="0"/>
      <w:marTop w:val="0"/>
      <w:marBottom w:val="0"/>
      <w:divBdr>
        <w:top w:val="none" w:sz="0" w:space="0" w:color="auto"/>
        <w:left w:val="none" w:sz="0" w:space="0" w:color="auto"/>
        <w:bottom w:val="none" w:sz="0" w:space="0" w:color="auto"/>
        <w:right w:val="none" w:sz="0" w:space="0" w:color="auto"/>
      </w:divBdr>
    </w:div>
    <w:div w:id="1333875831">
      <w:bodyDiv w:val="1"/>
      <w:marLeft w:val="0"/>
      <w:marRight w:val="0"/>
      <w:marTop w:val="0"/>
      <w:marBottom w:val="0"/>
      <w:divBdr>
        <w:top w:val="none" w:sz="0" w:space="0" w:color="auto"/>
        <w:left w:val="none" w:sz="0" w:space="0" w:color="auto"/>
        <w:bottom w:val="none" w:sz="0" w:space="0" w:color="auto"/>
        <w:right w:val="none" w:sz="0" w:space="0" w:color="auto"/>
      </w:divBdr>
    </w:div>
    <w:div w:id="1360471960">
      <w:bodyDiv w:val="1"/>
      <w:marLeft w:val="0"/>
      <w:marRight w:val="0"/>
      <w:marTop w:val="0"/>
      <w:marBottom w:val="0"/>
      <w:divBdr>
        <w:top w:val="none" w:sz="0" w:space="0" w:color="auto"/>
        <w:left w:val="none" w:sz="0" w:space="0" w:color="auto"/>
        <w:bottom w:val="none" w:sz="0" w:space="0" w:color="auto"/>
        <w:right w:val="none" w:sz="0" w:space="0" w:color="auto"/>
      </w:divBdr>
    </w:div>
    <w:div w:id="1419014762">
      <w:bodyDiv w:val="1"/>
      <w:marLeft w:val="0"/>
      <w:marRight w:val="0"/>
      <w:marTop w:val="0"/>
      <w:marBottom w:val="0"/>
      <w:divBdr>
        <w:top w:val="none" w:sz="0" w:space="0" w:color="auto"/>
        <w:left w:val="none" w:sz="0" w:space="0" w:color="auto"/>
        <w:bottom w:val="none" w:sz="0" w:space="0" w:color="auto"/>
        <w:right w:val="none" w:sz="0" w:space="0" w:color="auto"/>
      </w:divBdr>
    </w:div>
    <w:div w:id="1430735463">
      <w:bodyDiv w:val="1"/>
      <w:marLeft w:val="0"/>
      <w:marRight w:val="0"/>
      <w:marTop w:val="0"/>
      <w:marBottom w:val="0"/>
      <w:divBdr>
        <w:top w:val="none" w:sz="0" w:space="0" w:color="auto"/>
        <w:left w:val="none" w:sz="0" w:space="0" w:color="auto"/>
        <w:bottom w:val="none" w:sz="0" w:space="0" w:color="auto"/>
        <w:right w:val="none" w:sz="0" w:space="0" w:color="auto"/>
      </w:divBdr>
    </w:div>
    <w:div w:id="1433085438">
      <w:bodyDiv w:val="1"/>
      <w:marLeft w:val="0"/>
      <w:marRight w:val="0"/>
      <w:marTop w:val="0"/>
      <w:marBottom w:val="0"/>
      <w:divBdr>
        <w:top w:val="none" w:sz="0" w:space="0" w:color="auto"/>
        <w:left w:val="none" w:sz="0" w:space="0" w:color="auto"/>
        <w:bottom w:val="none" w:sz="0" w:space="0" w:color="auto"/>
        <w:right w:val="none" w:sz="0" w:space="0" w:color="auto"/>
      </w:divBdr>
    </w:div>
    <w:div w:id="1627199414">
      <w:bodyDiv w:val="1"/>
      <w:marLeft w:val="0"/>
      <w:marRight w:val="0"/>
      <w:marTop w:val="0"/>
      <w:marBottom w:val="0"/>
      <w:divBdr>
        <w:top w:val="none" w:sz="0" w:space="0" w:color="auto"/>
        <w:left w:val="none" w:sz="0" w:space="0" w:color="auto"/>
        <w:bottom w:val="none" w:sz="0" w:space="0" w:color="auto"/>
        <w:right w:val="none" w:sz="0" w:space="0" w:color="auto"/>
      </w:divBdr>
      <w:divsChild>
        <w:div w:id="1670324028">
          <w:marLeft w:val="0"/>
          <w:marRight w:val="0"/>
          <w:marTop w:val="0"/>
          <w:marBottom w:val="120"/>
          <w:divBdr>
            <w:top w:val="none" w:sz="0" w:space="0" w:color="auto"/>
            <w:left w:val="none" w:sz="0" w:space="0" w:color="auto"/>
            <w:bottom w:val="none" w:sz="0" w:space="0" w:color="auto"/>
            <w:right w:val="none" w:sz="0" w:space="0" w:color="auto"/>
          </w:divBdr>
          <w:divsChild>
            <w:div w:id="72316415">
              <w:marLeft w:val="0"/>
              <w:marRight w:val="0"/>
              <w:marTop w:val="0"/>
              <w:marBottom w:val="0"/>
              <w:divBdr>
                <w:top w:val="none" w:sz="0" w:space="0" w:color="auto"/>
                <w:left w:val="none" w:sz="0" w:space="0" w:color="auto"/>
                <w:bottom w:val="none" w:sz="0" w:space="0" w:color="auto"/>
                <w:right w:val="none" w:sz="0" w:space="0" w:color="auto"/>
              </w:divBdr>
            </w:div>
          </w:divsChild>
        </w:div>
        <w:div w:id="1687560258">
          <w:marLeft w:val="0"/>
          <w:marRight w:val="0"/>
          <w:marTop w:val="0"/>
          <w:marBottom w:val="120"/>
          <w:divBdr>
            <w:top w:val="none" w:sz="0" w:space="0" w:color="auto"/>
            <w:left w:val="none" w:sz="0" w:space="0" w:color="auto"/>
            <w:bottom w:val="none" w:sz="0" w:space="0" w:color="auto"/>
            <w:right w:val="none" w:sz="0" w:space="0" w:color="auto"/>
          </w:divBdr>
          <w:divsChild>
            <w:div w:id="137823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0516">
      <w:bodyDiv w:val="1"/>
      <w:marLeft w:val="0"/>
      <w:marRight w:val="0"/>
      <w:marTop w:val="0"/>
      <w:marBottom w:val="0"/>
      <w:divBdr>
        <w:top w:val="none" w:sz="0" w:space="0" w:color="auto"/>
        <w:left w:val="none" w:sz="0" w:space="0" w:color="auto"/>
        <w:bottom w:val="none" w:sz="0" w:space="0" w:color="auto"/>
        <w:right w:val="none" w:sz="0" w:space="0" w:color="auto"/>
      </w:divBdr>
    </w:div>
    <w:div w:id="1691562710">
      <w:bodyDiv w:val="1"/>
      <w:marLeft w:val="0"/>
      <w:marRight w:val="0"/>
      <w:marTop w:val="0"/>
      <w:marBottom w:val="0"/>
      <w:divBdr>
        <w:top w:val="none" w:sz="0" w:space="0" w:color="auto"/>
        <w:left w:val="none" w:sz="0" w:space="0" w:color="auto"/>
        <w:bottom w:val="none" w:sz="0" w:space="0" w:color="auto"/>
        <w:right w:val="none" w:sz="0" w:space="0" w:color="auto"/>
      </w:divBdr>
    </w:div>
    <w:div w:id="1922719834">
      <w:bodyDiv w:val="1"/>
      <w:marLeft w:val="0"/>
      <w:marRight w:val="0"/>
      <w:marTop w:val="0"/>
      <w:marBottom w:val="0"/>
      <w:divBdr>
        <w:top w:val="none" w:sz="0" w:space="0" w:color="auto"/>
        <w:left w:val="none" w:sz="0" w:space="0" w:color="auto"/>
        <w:bottom w:val="none" w:sz="0" w:space="0" w:color="auto"/>
        <w:right w:val="none" w:sz="0" w:space="0" w:color="auto"/>
      </w:divBdr>
    </w:div>
    <w:div w:id="1926185213">
      <w:bodyDiv w:val="1"/>
      <w:marLeft w:val="0"/>
      <w:marRight w:val="0"/>
      <w:marTop w:val="0"/>
      <w:marBottom w:val="0"/>
      <w:divBdr>
        <w:top w:val="none" w:sz="0" w:space="0" w:color="auto"/>
        <w:left w:val="none" w:sz="0" w:space="0" w:color="auto"/>
        <w:bottom w:val="none" w:sz="0" w:space="0" w:color="auto"/>
        <w:right w:val="none" w:sz="0" w:space="0" w:color="auto"/>
      </w:divBdr>
    </w:div>
    <w:div w:id="2008435194">
      <w:bodyDiv w:val="1"/>
      <w:marLeft w:val="0"/>
      <w:marRight w:val="0"/>
      <w:marTop w:val="0"/>
      <w:marBottom w:val="0"/>
      <w:divBdr>
        <w:top w:val="none" w:sz="0" w:space="0" w:color="auto"/>
        <w:left w:val="none" w:sz="0" w:space="0" w:color="auto"/>
        <w:bottom w:val="none" w:sz="0" w:space="0" w:color="auto"/>
        <w:right w:val="none" w:sz="0" w:space="0" w:color="auto"/>
      </w:divBdr>
    </w:div>
    <w:div w:id="213439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georgiapower.com/ccr" TargetMode="External"/><Relationship Id="rId1" Type="http://schemas.openxmlformats.org/officeDocument/2006/relationships/hyperlink" Target="https://www.epa.gov/system/files/documents/2023-08/fy2024-27nec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8CD4-8C02-4C07-A41C-91E62B9D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31896</Words>
  <Characters>181809</Characters>
  <Application>Microsoft Office Word</Application>
  <DocSecurity>0</DocSecurity>
  <Lines>1515</Lines>
  <Paragraphs>426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2025-01-28T19:53:00Z</dcterms:created>
  <dcterms:modified xsi:type="dcterms:W3CDTF">2025-01-28T19:53:00Z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2025-01-28T19:53:54Z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1f4c381a-28c8-467c-8373-c2ff55b35725</vt:lpwstr>
  </property>
  <property fmtid="{D5CDD505-2E9C-101B-9397-08002B2CF9AE}" pid="9" name="MSIP_Label_ed3826ce-7c18-471d-9596-93de5bae332e_ContentBits">
    <vt:lpwstr>0</vt:lpwstr>
  </property>
</Properties>
</file>